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478A" w14:textId="77777777" w:rsidR="003D530B" w:rsidRPr="003D530B" w:rsidRDefault="003D530B" w:rsidP="003D5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BY" w:eastAsia="ru-BY"/>
        </w:rPr>
        <w:t>УКАЗ ПРЕЗИДЕНТА РЕСПУБЛИКИ БЕЛАРУСЬ</w:t>
      </w:r>
    </w:p>
    <w:p w14:paraId="40EC42F0" w14:textId="77777777" w:rsidR="003D530B" w:rsidRPr="003D530B" w:rsidRDefault="003D530B" w:rsidP="003D5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19 ноября 2010 г. № 599</w:t>
      </w:r>
    </w:p>
    <w:p w14:paraId="42D0C7CE" w14:textId="77777777" w:rsidR="003D530B" w:rsidRPr="003D530B" w:rsidRDefault="003D530B" w:rsidP="003D530B">
      <w:pPr>
        <w:shd w:val="clear" w:color="auto" w:fill="FFFFFF"/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</w:pPr>
      <w:r w:rsidRPr="003D530B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О некоторых мерах по совершенствованию порядка осуществления деятельности в сфере игорного бизнеса</w:t>
      </w:r>
    </w:p>
    <w:p w14:paraId="5E8E02C6" w14:textId="77777777" w:rsidR="003D530B" w:rsidRPr="003D530B" w:rsidRDefault="003D530B" w:rsidP="003D530B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Изменения и дополнения:</w:t>
      </w:r>
    </w:p>
    <w:p w14:paraId="090D5713" w14:textId="77777777" w:rsidR="003D530B" w:rsidRPr="003D530B" w:rsidRDefault="003D530B" w:rsidP="003D530B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11 июля 2012 г. № 312 (Национальный правовой Интернет-портал Республики Беларусь, 17.07.2012, 1/13622) &lt;P31200312&gt;;</w:t>
      </w:r>
    </w:p>
    <w:p w14:paraId="5FD23204" w14:textId="77777777" w:rsidR="003D530B" w:rsidRPr="003D530B" w:rsidRDefault="003D530B" w:rsidP="003D530B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24 сентября 2012 г. № 416 (Национальный правовой Интернет-портал Республики Беларусь, 26.09.2012, 1/13761) &lt;P31200416&gt;;</w:t>
      </w:r>
    </w:p>
    <w:p w14:paraId="1DD5B38C" w14:textId="77777777" w:rsidR="003D530B" w:rsidRPr="003D530B" w:rsidRDefault="003D530B" w:rsidP="003D530B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12 апреля 2013 г. № 168 (Национальный правовой Интернет-портал Республики Беларусь, 13.04.2013, 1/14193) &lt;P31300168&gt;</w:t>
      </w:r>
    </w:p>
    <w:p w14:paraId="2A55D183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3953454A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4A95F24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целях упорядочения деятельности в сфере игорного бизнеса в Республике Беларусь:</w:t>
      </w:r>
    </w:p>
    <w:p w14:paraId="757CC28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Установить, что с 1 января 2011 г. деятельность в сфере игорного бизнеса осуществляется исключительно юридическими лицами Республики Беларусь.</w:t>
      </w:r>
    </w:p>
    <w:p w14:paraId="4E3F46A7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Индивидуальные предприниматели, имеющие специальное разрешение (лицензию) на осуществление деятельности в сфере игорного бизнеса, обязаны до 1 марта 2011 г. сдать в лицензирующий орган оригинал такого разрешения (лицензии), его дубликат и копии, заверенные лицензирующим органом.</w:t>
      </w:r>
    </w:p>
    <w:p w14:paraId="6C86428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Внести изменения и дополнения в следующие указы Президента Республики Беларусь:</w:t>
      </w:r>
    </w:p>
    <w:p w14:paraId="75B2B796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2.1. в Указе Президента Республики Беларусь от 10 января 2005 г. № 9 «Об утверждении Положения об осуществлении деятельности в сфере игорного бизнеса на территории Республики Беларусь» (Национальный реестр правовых актов Республики Беларусь, 2005 г., № 5, 1/6157; 2007 г., № 3, 1/8199; 2008 г., № 92, 1/9612; 2010 г., № 66, 1/11477):</w:t>
      </w:r>
    </w:p>
    <w:p w14:paraId="6439FC96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пункт 3 изложить в следующей редакции:</w:t>
      </w:r>
    </w:p>
    <w:p w14:paraId="1F9BF38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«3. Реализацию государственной политики в сфере игорного бизнеса, а также координацию деятельности республиканских органов государственного управления, местных исполнительных и распорядительных органов в данной сфере осуществляет Министерство по налогам и сборам.</w:t>
      </w:r>
    </w:p>
    <w:p w14:paraId="3CD9CD7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Контроль за деятельностью в сфере игорного бизнеса и соблюдением законодательства при осуществлении этой деятельности возложить на Министерство по налогам и сборам и его территориальные органы, органы Комитета государственного контроля.»;</w:t>
      </w:r>
    </w:p>
    <w:p w14:paraId="0AAB54A0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Положение об осуществлении деятельности в сфере игорного бизнеса на территории Республики Беларусь, утвержденное названным Указом, изложить в новой редакции (прилагается);</w:t>
      </w:r>
    </w:p>
    <w:p w14:paraId="69DA392B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2.2. утратил силу.</w:t>
      </w:r>
    </w:p>
    <w:p w14:paraId="73D0058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3. Определить, что игорные заведения, размещенные на 1 января 2011 г. в местах, не соответствующих требованиям, содержащимся в пунктах 7 и 8 Положения об осуществлении деятельности в сфере игорного бизнеса на территории Республики Беларусь, утвержденного Указом Президента Республики Беларусь от 10 января 2005 г. № 9, вправе осуществлять свою деятельность с соблюдением установленных </w:t>
      </w: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законодательством требований и условий, в том числе лицензионных, до истечения срока действия специального разрешения (лицензии) без права его продления, но не позднее 1 июля 2012 г.</w:t>
      </w:r>
    </w:p>
    <w:p w14:paraId="0E71F7C0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Исключен.</w:t>
      </w:r>
    </w:p>
    <w:p w14:paraId="453A283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5. Юридическим лицам, осуществляющим деятельность в сфере игорного бизнеса, до 1 января 2011 г. разработать и утвердить по согласованию с Министерством по налогам и сборам правила организации и проведения азартных игр, за исключением игр на игровых автоматах.</w:t>
      </w:r>
    </w:p>
    <w:p w14:paraId="63267B6F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 Совету Министров Республики Беларусь обеспечить:</w:t>
      </w:r>
    </w:p>
    <w:p w14:paraId="565A31E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6.1. до 1 апреля 2011 г. разработку и принятие в установленном порядке нормативного правового акта, определяющего порядок ведения Государственного реестра моделей игровых автоматов, допущенных к использованию в Республике Беларусь;</w:t>
      </w:r>
    </w:p>
    <w:p w14:paraId="5D39704A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6.2. с 1 апреля 2011 г. ведение Государственного реестра моделей игровых автоматов, допущенных к использованию в Республике Беларусь, и проведение работ по включению в него игровых автоматов;</w:t>
      </w:r>
    </w:p>
    <w:p w14:paraId="7F95AD0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6.3. до 1 сентября 2011 г. внесение на рассмотрение Президента Республики Беларусь предложений о подключении игровых столов к специальной компьютерной кассовой системе, обеспечивающей контроль за оборотами в сфере игорного бизнеса;</w:t>
      </w:r>
    </w:p>
    <w:p w14:paraId="2C1B15AC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6.4. до 1 января 2012 г. разработку и принятие в установленном порядке нормативных правовых актов о порядке функционирования специальной компьютерной кассовой системы, обеспечивающей контроль за оборотами в сфере игорного бизнеса, мониторингового центра в сфере игорного бизнеса по ее обслуживанию, предусмотрев ввод этой системы в эксплуатацию с 1 декабря 2013 г.;</w:t>
      </w:r>
    </w:p>
    <w:p w14:paraId="261B295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6.5. в трехмесячный срок приведение актов законодательства в соответствие с настоящим Указом, включая разработку и внесение в Палату представителей Национального собрания Республики Беларусь проектов законов Республики Беларусь, предусматривающих:</w:t>
      </w:r>
    </w:p>
    <w:p w14:paraId="7B0E0835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внесение дополнений в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 по вопросам усиления ответственности за нарушение требований законодательства в сфере игорного бизнеса, в том числе за несвоевременную выплату выигрыша (в течение 24 часов с момента обращения участника азартной игры за получением выигрыша (</w:t>
      </w:r>
      <w:proofErr w:type="spellStart"/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несыгравших</w:t>
      </w:r>
      <w:proofErr w:type="spellEnd"/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ставок), правил размещения игорного заведения, допуск в игорное заведение лиц, не достигших 18-летнего возраста, установку и использование игрового оборудования с нарушением установленных требований, а также иные нарушения в сфере игорного бизнеса;</w:t>
      </w:r>
    </w:p>
    <w:p w14:paraId="645DC107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приведение Налогового кодекса Республики Беларусь в соответствие с настоящим Указом;</w:t>
      </w:r>
    </w:p>
    <w:p w14:paraId="7BC3196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6.6. принятие иных мер по реализации настоящего Указа.</w:t>
      </w:r>
    </w:p>
    <w:p w14:paraId="06B2B241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7. Государственному комитету по стандартизации с участием Оперативно-аналитического центра при Президенте Республики Беларусь, победителей конкурса, определенных в соответствии с постановлением Совета Министров Республики Беларусь от 4 мая 2010 г. № 668 «О конкурсе на лучшее инвестиционное предложение о создании в Республике Беларусь мониторингового центра в сфере игорного бизнеса» (Национальный реестр правовых актов Республики Беларусь, 2010 г., № 110, 5/31776), до 1 апреля 2011 г. разработать и утвердить технические нормативные правовые акты, определяющие технические требования к игровым автоматам и экспертизе их программного обеспечения для включения в Государственный реестр моделей игровых автоматов, допущенных к использованию в Республике Беларусь.</w:t>
      </w:r>
    </w:p>
    <w:p w14:paraId="106D2AA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8. Министерству спорта и туризма до 1 января 2011 г. обеспечить передачу Министерству по налогам и сборам реестра специальных разрешений (лицензий) на </w:t>
      </w: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осуществление деятельности в сфере игорного бизнеса и иных документов, связанных с лицензированием данного вида деятельности.</w:t>
      </w:r>
    </w:p>
    <w:p w14:paraId="470AF821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9. Настоящий Указ вступает в силу через десять дней после его официального опубликования, за исключением абзаца пятого подпункта 2.1 пункта 2 и пункта 4, вступающих в силу с 1 января 2011 г.</w:t>
      </w:r>
    </w:p>
    <w:p w14:paraId="0ADDD63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3D530B" w:rsidRPr="003D530B" w14:paraId="45FB49EA" w14:textId="77777777" w:rsidTr="003D530B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EE539" w14:textId="77777777" w:rsidR="003D530B" w:rsidRPr="003D530B" w:rsidRDefault="003D530B" w:rsidP="003D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D53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Президент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CAA39" w14:textId="77777777" w:rsidR="003D530B" w:rsidRPr="003D530B" w:rsidRDefault="003D530B" w:rsidP="003D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3D53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А.Лукашенко</w:t>
            </w:r>
            <w:proofErr w:type="spellEnd"/>
          </w:p>
        </w:tc>
      </w:tr>
    </w:tbl>
    <w:p w14:paraId="544F5D7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1"/>
        <w:gridCol w:w="7119"/>
      </w:tblGrid>
      <w:tr w:rsidR="003D530B" w:rsidRPr="003D530B" w14:paraId="52E0D074" w14:textId="77777777" w:rsidTr="003D530B">
        <w:tc>
          <w:tcPr>
            <w:tcW w:w="1554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26931" w14:textId="77777777" w:rsidR="003D530B" w:rsidRPr="003D530B" w:rsidRDefault="003D530B" w:rsidP="003D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3D530B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 </w:t>
            </w:r>
          </w:p>
        </w:tc>
        <w:tc>
          <w:tcPr>
            <w:tcW w:w="75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A3C0A" w14:textId="77777777" w:rsidR="003D530B" w:rsidRPr="003D530B" w:rsidRDefault="003D530B" w:rsidP="003D53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3D530B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УТВЕРЖДЕНО</w:t>
            </w:r>
          </w:p>
          <w:p w14:paraId="3EEE3129" w14:textId="77777777" w:rsidR="003D530B" w:rsidRPr="003D530B" w:rsidRDefault="003D530B" w:rsidP="003D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3D530B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Указ Президента</w:t>
            </w:r>
            <w:r w:rsidRPr="003D530B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3D530B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10.01.2005 № 9</w:t>
            </w:r>
            <w:r w:rsidRPr="003D530B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(в редакции Указа Президента</w:t>
            </w:r>
            <w:r w:rsidRPr="003D530B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3D530B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19.11.2010 № 599)</w:t>
            </w:r>
          </w:p>
        </w:tc>
      </w:tr>
    </w:tbl>
    <w:p w14:paraId="15A9D4D3" w14:textId="77777777" w:rsidR="003D530B" w:rsidRPr="003D530B" w:rsidRDefault="003D530B" w:rsidP="003D5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ПОЛОЖЕНИЕ</w:t>
      </w:r>
      <w:r w:rsidRPr="003D5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br/>
        <w:t>об осуществлении деятельности в сфере игорного бизнеса на территории Республики Беларусь</w:t>
      </w:r>
    </w:p>
    <w:p w14:paraId="2F565E9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Для целей настоящего Положения применяются следующие термины и их определения:</w:t>
      </w:r>
    </w:p>
    <w:p w14:paraId="1F77D30C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азартная игра – основанное на риске соглашение о выигрыше, заключенное двумя или несколькими участниками азартной игры между собой либо с организатором азартной игры;</w:t>
      </w:r>
    </w:p>
    <w:p w14:paraId="52E8476E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букмекерская игра – азартная игра, в которой ее участник делает ставку на результат события (заключает пари с организатором азартной игры), а размер выигрыша определяется до начала этой игры и зависит от частичного или полного совпадения прогноза с наступившими, документально подтвержденными фактами;</w:t>
      </w:r>
    </w:p>
    <w:p w14:paraId="3409192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букмекерская контора – игорное заведение, в котором организатор азартной игры заключает пари с участниками букмекерской игры;</w:t>
      </w:r>
    </w:p>
    <w:p w14:paraId="5C16F756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выигрыш – денежные средства (иное имущество, в том числе имущественные права), подлежащие выплате (передаче) участнику азартной игры при наступлении результата, предусмотренного правилами организации и проведения азартной игры;</w:t>
      </w:r>
    </w:p>
    <w:p w14:paraId="781B75FB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деятельность в сфере игорного бизнеса (игорный бизнес) – деятельность, направленная на заключение основанных на риске соглашений о выигрыше с участниками азартных игр и (или) организацию заключения таких соглашений между несколькими участниками азартной игры;</w:t>
      </w:r>
    </w:p>
    <w:p w14:paraId="508A12EC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зал игровых автоматов – игорное заведение, в котором осуществляется деятельность в сфере игорного бизнеса с использованием игровых автоматов и иного игрового оборудования, за исключением игровых столов;</w:t>
      </w:r>
    </w:p>
    <w:p w14:paraId="5C04C19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игорное заведение – место, где проводятся азартные игры и (или) принимаются ставки в азартных играх;</w:t>
      </w:r>
    </w:p>
    <w:p w14:paraId="3D82F613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 в карты – азартная игра, в которой ее участники раскладом карт определяют выигрыш и его размер;</w:t>
      </w:r>
    </w:p>
    <w:p w14:paraId="6427104A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 в кости – азартная игра, в которой ее участники выбрасыванием числа кости определяют выигрыш и его размер;</w:t>
      </w:r>
    </w:p>
    <w:p w14:paraId="49A8DB7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 на игровых автоматах – азартная игра, в которой ее участники с использованием игровых автоматов случайным образом определяют выигрыш и его размер;</w:t>
      </w:r>
    </w:p>
    <w:p w14:paraId="6DF87CB5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 тотализатора – азартная игра, в которой ее участник делает ставку на прогноз результата события (заключает пари с другим участником азартной игры), а размер выигрыша зависит от частичного или полного совпадения прогноза с наступившими, документально подтвержденными фактами, а также от общей суммы внесенных ставок;</w:t>
      </w:r>
    </w:p>
    <w:p w14:paraId="70D51E1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игровой автомат – специальное механическое, электрическое, электронное, иное техническое оборудование, установленное в игорном заведении и используемое </w:t>
      </w: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организатором азартной игры для проведения азартной игры с денежным выигрышем, который случайным образом определяется устройством, находящимся внутри корпуса такого игрового автомата, с применением заложенной в устройство программы без непосредственного участия в указанной игре представителей организатора азартной игры;</w:t>
      </w:r>
    </w:p>
    <w:p w14:paraId="3AF05FC0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игровой стол – оборудование с игровым полем (игровыми полями), используемое для проведения азартной игры (азартных игр) с любым видом выигрыша, в которой (которых) организатор азартной игры через своих работников участвует как сторона и (или) наблюдатель;</w:t>
      </w:r>
    </w:p>
    <w:p w14:paraId="32962B4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игровое оборудование – игровой стол, игровой автомат, иное оборудование, используемое для организации и проведения азартной игры;</w:t>
      </w:r>
    </w:p>
    <w:p w14:paraId="46073D87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игровое поле – специальное место на игровом столе, предназначенное для проведения азартной игры с количеством участников, установленным в соответствии с правилами организации и проведения азартной игры;</w:t>
      </w:r>
    </w:p>
    <w:p w14:paraId="1ED02BC0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казино – игорное заведение, в котором осуществляется деятельность в сфере игорного бизнеса с использованием игровых столов, игровых автоматов, иного игрового оборудования;</w:t>
      </w:r>
    </w:p>
    <w:p w14:paraId="332B381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касса букмекерской конторы – специально оборудованное одно рабочее место, где осуществляется прием ставок в букмекерских играх и выплата выигрышей; заключенный договор поручения, агентский или другой аналогичный договор, предусматривающий прием ставок в букмекерских играх и выплату выигрышей; электронный кошелек, открытый организатору букмекерской игры, на который принимаются ставки в букмекерской игре;</w:t>
      </w:r>
    </w:p>
    <w:p w14:paraId="1C12E3C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касса тотализатора – специально оборудованное одно рабочее место, где принимаются ставки в играх тотализатора, учитывается их общая сумма, определяется размер выигрыша, производится его выплата;</w:t>
      </w:r>
    </w:p>
    <w:p w14:paraId="1BB92FF3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организатор азартной игры – юридическое лицо, осуществляющее деятельность в сфере игорного бизнеса;</w:t>
      </w:r>
    </w:p>
    <w:p w14:paraId="2A712AE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пари – азартная игра, исход которой зависит от результата события, относительно которого неизвестно, наступит оно или нет;</w:t>
      </w:r>
    </w:p>
    <w:p w14:paraId="5287F7DF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посетители игорного заведения – участники азартных игр, иные физические лица, находящиеся в игорном заведении, за исключением работников игорных заведений, работников правоохранительных, контролирующих (надзорных) органов при исполнении ими служебных обязанностей;</w:t>
      </w:r>
    </w:p>
    <w:p w14:paraId="453D0DF0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служебная зона игорного заведения – обособленная часть игорного заведения, предназначенная для работников организатора азартной игры;</w:t>
      </w:r>
    </w:p>
    <w:p w14:paraId="524C878E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ставка в азартной игре – денежные средства либо их эквивалент (фишки, жетоны, электронные деньги, иное), передаваемые участником азартной игры ее организатору или другому участнику азартной игры и являющиеся условием участия в азартной игре в соответствии с правилами организации и проведения азартной игры;</w:t>
      </w:r>
    </w:p>
    <w:p w14:paraId="5CF9247B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тотализатор – игорное заведение, в котором организатор азартной игры организует заключение пари между участниками данного вида азартной игры;</w:t>
      </w:r>
    </w:p>
    <w:p w14:paraId="5CF970FA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участник азартной игры – физическое лицо, принимающее участие в азартной игре и заключающее основанное на риске соглашение о выигрыше с организатором азартной игры или другим ее участником;</w:t>
      </w:r>
    </w:p>
    <w:p w14:paraId="68700F0B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цилиндрическая игра (рулетка) – азартная игра, в которой ее участники, определяя комбинации чисел, символов и других знаков с помощью вращающегося устройства, выигрывают в зависимости от заранее установленной пропорции общей суммы сделанных ставок и выигрышей.</w:t>
      </w:r>
    </w:p>
    <w:p w14:paraId="2DFE0C3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Действие настоящего Положения не распространяется на электронные интерактивные игры и лотереи, порядок организации и проведения которых определяется иными законодательными актами.</w:t>
      </w:r>
    </w:p>
    <w:p w14:paraId="0628419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3. На территории Республики Беларусь разрешено осуществление следующих видов деятельности в сфере игорного бизнеса:</w:t>
      </w:r>
    </w:p>
    <w:p w14:paraId="51686DD5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содержание букмекерской конторы;</w:t>
      </w:r>
    </w:p>
    <w:p w14:paraId="2E4A5E85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содержание зала игровых автоматов;</w:t>
      </w:r>
    </w:p>
    <w:p w14:paraId="7618DB7F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содержание казино;</w:t>
      </w:r>
    </w:p>
    <w:p w14:paraId="32A9866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содержание тотализатора.</w:t>
      </w:r>
    </w:p>
    <w:p w14:paraId="2C961395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Положения о порядке осуществления указанных в части первой настоящего пункта видов деятельности в сфере игорного бизнеса утверждаются Советом Министров Республики Беларусь с учетом требований законодательных актов.</w:t>
      </w:r>
    </w:p>
    <w:p w14:paraId="1479FFC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На территории Республики Беларусь разрешены организация и проведение следующих видов азартных игр:</w:t>
      </w:r>
    </w:p>
    <w:p w14:paraId="2755C45E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букмекерская игра;</w:t>
      </w:r>
    </w:p>
    <w:p w14:paraId="205B0C8A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 в карты;</w:t>
      </w:r>
    </w:p>
    <w:p w14:paraId="5FFCBB0F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 в кости;</w:t>
      </w:r>
    </w:p>
    <w:p w14:paraId="7DA11FB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 на игровых автоматах;</w:t>
      </w:r>
    </w:p>
    <w:p w14:paraId="294B881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 тотализатора;</w:t>
      </w:r>
    </w:p>
    <w:p w14:paraId="51B028D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цилиндрическая игра (рулетка).</w:t>
      </w:r>
    </w:p>
    <w:p w14:paraId="6E1B2461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Правила организации и проведения азартных игр, за исключением игр на игровых автоматах, разрабатываются организаторами азартных игр с учетом требований законодательства и утверждаются по согласованию с Министерством по налогам и сборам.</w:t>
      </w:r>
    </w:p>
    <w:p w14:paraId="224F9580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Правила организации и проведения азартных игр на игровых автоматах определяются их программным обеспечением и технической документацией.</w:t>
      </w:r>
    </w:p>
    <w:p w14:paraId="62271781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5. Организация и проведение азартных игр, не предусмотренных законодательными актами, на территории Республики Беларусь запрещены.</w:t>
      </w:r>
    </w:p>
    <w:p w14:paraId="10BD9F0F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 Юридические лица вправе осуществлять деятельность в сфере игорного бизнеса на основании специального разрешения (лицензии), выданного в соответствии с законодательством о лицензировании.</w:t>
      </w:r>
    </w:p>
    <w:p w14:paraId="558BCB3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7. Игорное заведение может располагаться только в капитальных строениях (зданиях, сооружениях), занимать эти строения полностью либо их изолированные помещения.</w:t>
      </w:r>
    </w:p>
    <w:p w14:paraId="6EFF720A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 этом для размещения залов игровых автоматов могут использоваться помещения, общая площадь которых, включая служебную зону игорного заведения, должна быть не менее 100 кв. метров, а для размещения казино – не менее 250 кв. метров, за исключением игорных заведений, расположенных в помещениях гостиниц и гостиничных комплексов категории «три звезды» и выше.</w:t>
      </w:r>
    </w:p>
    <w:p w14:paraId="58C6D5E7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8. Игорное заведение не может размещаться:</w:t>
      </w:r>
    </w:p>
    <w:p w14:paraId="5F08EAE3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 объектах, не завершенных строительством, во временных постройках, под навесами и в других подобных сооружениях;</w:t>
      </w:r>
    </w:p>
    <w:p w14:paraId="7427FCD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капитальных строениях (зданиях, сооружениях), в которых расположены учреждения образования, государственные организации здравоохранения, религиозные организации;</w:t>
      </w:r>
    </w:p>
    <w:p w14:paraId="3D1C10BC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зданиях жилых домов, помещениях государственных органов, банков и небанковских кредитно-финансовых организаций, объектов почтовой связи и электросвязи, санаторно-курортных и оздоровительных организаций и организаций культуры;</w:t>
      </w:r>
    </w:p>
    <w:p w14:paraId="78BAD88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физкультурно-спортивных сооружениях (кроме букмекерских контор и тотализаторов).</w:t>
      </w:r>
    </w:p>
    <w:p w14:paraId="3311CA40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9. Организация и проведение в Республике Беларусь азартных игр должны осуществляться только работниками организатора азартных игр.</w:t>
      </w:r>
    </w:p>
    <w:p w14:paraId="4C88C201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10. Игровое оборудование, включенное в предусмотренный законодательством перечень продукции, услуг, персонала и иных объектов оценки соответствия, подлежащих обязательному подтверждению соответствия в Республике Беларусь, и его техническое обслуживание подлежат обязательному подтверждению соответствия в Национальной </w:t>
      </w: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системе подтверждения соответствия Республики Беларусь (далее – Национальная система).</w:t>
      </w:r>
    </w:p>
    <w:p w14:paraId="3587888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11. Запрещается:</w:t>
      </w:r>
    </w:p>
    <w:p w14:paraId="2B8CF5D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реализация, установка и ввод в эксплуатацию (использование) игрового оборудования, включенного в предусмотренный законодательством перечень продукции, услуг, персонала и иных объектов оценки соответствия, подлежащих обязательному подтверждению соответствия в Республике Беларусь, но не прошедшего подтверждения соответствия в Национальной системе, а с 1 июля 2011 г. – игровых автоматов, не включенных в Государственный реестр моделей игровых автоматов, допущенных к использованию в Республике Беларусь (далее – Государственный реестр);</w:t>
      </w:r>
    </w:p>
    <w:p w14:paraId="59C0E4D1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ввод в эксплуатацию (использование) с 1 июля 2012 г. игровых автоматов, касс букмекерских контор и касс тотализатора без их подключения к специальной компьютерной кассовой системе, обеспечивающей контроль за оборотами в сфере игорного бизнеса.</w:t>
      </w:r>
    </w:p>
    <w:p w14:paraId="5817155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Нарушение указанных в части первой настоящего пункта требований является основанием для прекращения действия специального разрешения (лицензии) на осуществление деятельности в сфере игорного бизнеса.</w:t>
      </w:r>
    </w:p>
    <w:p w14:paraId="089AAEA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12. Ведение Государственного реестра осуществляется Государственным комитетом по стандартизации.</w:t>
      </w:r>
    </w:p>
    <w:p w14:paraId="312A3247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Фактически заложенный средний процент денежного выигрыша игровых автоматов при их включении в Государственный реестр и последующем использовании должен быть не ниже 90 процентов для каждого игрового автомата.</w:t>
      </w:r>
    </w:p>
    <w:p w14:paraId="3AD794D3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13. Испытания игровых автоматов и экспертиза их программного обеспечения в целях их включения в Государственный реестр осуществляются аккредитованными лабораториями (центрами), перечень которых утверждается Государственным комитетом по стандартизации, на основе договора с изготовителями игровых автоматов и (или) иными юридическими лицами, осуществляющими их ввоз и (или) использование.</w:t>
      </w:r>
    </w:p>
    <w:p w14:paraId="7B7543FB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14. Запрещается организовывать и проводить азартные игры, если:</w:t>
      </w:r>
    </w:p>
    <w:p w14:paraId="5CBDF283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правила организации и проведения азартной игры, за исключением игры на игровых автоматах, не согласованы с Министерством по налогам и сборам;</w:t>
      </w:r>
    </w:p>
    <w:p w14:paraId="7E0D6F0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не обеспечена безопасность посетителей игорных заведений и участников азартных игр;</w:t>
      </w:r>
    </w:p>
    <w:p w14:paraId="6468EE1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азартные игры организуются и проводятся с нарушением требований, установленных настоящим Положением;</w:t>
      </w:r>
    </w:p>
    <w:p w14:paraId="28825866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соглашение о выигрыше в азартной игре и (или) получение выигрыша связаны с проведением референдума, выборов или их результатами, необходимостью приобретения алкогольных, слабоалкогольных напитков, пива, табачных изделий, совершением противоправных деяний или деяний, направленных на осуществление экстремистской деятельности либо представляющих угрозу жизни и здоровью, национальной безопасности, осуществлению прав и свобод, исполнению обязанностей.</w:t>
      </w:r>
    </w:p>
    <w:p w14:paraId="2B86007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15. Запрещается допускать в игорное заведение лиц, не достигших 18-летнего возраста.</w:t>
      </w:r>
    </w:p>
    <w:p w14:paraId="4ECBE28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Организаторам азартных игр запрещается принимать на работу в игорное заведение лиц, не достигших 18-летнего возраста.</w:t>
      </w:r>
    </w:p>
    <w:p w14:paraId="7EBDB84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16. Посетителям игорных заведений запрещается:</w:t>
      </w:r>
    </w:p>
    <w:p w14:paraId="4F53127F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находиться в игорных заведениях в пьяном виде, оскорбляющем человеческое достоинство и нравственность, состоянии наркотического или токсического опьянения;</w:t>
      </w:r>
    </w:p>
    <w:p w14:paraId="40F96D7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иметь при себе оружие независимо от наличия разрешения на право его ношения, боеприпасы, отравляющие и взрывоопасные вещества;</w:t>
      </w:r>
    </w:p>
    <w:p w14:paraId="3BE9A4E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входить в служебную зону, а также на рабочие места работников организатора азартных игр;</w:t>
      </w:r>
    </w:p>
    <w:p w14:paraId="0D682BFB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вести кино-, фото- и видеосъемку посетителей игорного заведения без их разрешения и разрешения специально уполномоченного должностного лица организатора азартных игр;</w:t>
      </w:r>
    </w:p>
    <w:p w14:paraId="706BEB89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использовать при проведении азартной игры технические устройства, оказывающие воздействие на случайный результат игры или позволяющие его предвидеть.</w:t>
      </w:r>
    </w:p>
    <w:p w14:paraId="7737DF2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17. Посетители игорных заведений обязаны:</w:t>
      </w:r>
    </w:p>
    <w:p w14:paraId="3579BDA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соблюдать правила посещения игорного заведения, установленные организатором азартной игры;</w:t>
      </w:r>
    </w:p>
    <w:p w14:paraId="1A6D96B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играть строго по правилам организации и проведения азартной игры;</w:t>
      </w:r>
    </w:p>
    <w:p w14:paraId="793AFB2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вести себя корректно, не допускать нарушений общественного порядка;</w:t>
      </w:r>
    </w:p>
    <w:p w14:paraId="66C14AB3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выполнять законные требования работников организатора азартных игр.</w:t>
      </w:r>
    </w:p>
    <w:p w14:paraId="205B9EE7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18. По требованию работников организатора азартных игр посетитель игорного заведения, нарушающий требования настоящего Положения и (или) правила посещения игорного заведения, обязан немедленно его покинуть.</w:t>
      </w:r>
    </w:p>
    <w:p w14:paraId="75EBD0A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Выписка из пунктов 15–17 настоящего Положения и правила посещения игорного заведения должны быть размещены в игорном заведении в доступном для его посетителей месте.</w:t>
      </w:r>
    </w:p>
    <w:p w14:paraId="72B023C7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Посетители игорных заведений имеют право знакомиться с режимом работы игорного заведения, а также с правилами организации и проведения азартных игр.</w:t>
      </w:r>
    </w:p>
    <w:p w14:paraId="6A598167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19. Организатор азартных игр вправе запретить доступ в игорное заведение посетителю в случаях, если посетитель ранее:</w:t>
      </w:r>
    </w:p>
    <w:p w14:paraId="06C62CDB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неоднократно (два и более раза) нарушал требования, установленные в абзацах втором–четвертом пункта 16 и в пункте 17 настоящего Положения, и указанные факты были документально оформлены и подтверждены;</w:t>
      </w:r>
    </w:p>
    <w:p w14:paraId="7BB3784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использовал при проведении азартной игры технические устройства, оказывающие воздействие на случайный результат игры или позволяющие его предвидеть, и этот факт был документально оформлен и подтвержден.</w:t>
      </w:r>
    </w:p>
    <w:p w14:paraId="2F19B713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Правила посещения игорных заведений не должны содержать положений, устанавливающих дополнительные ограничения доступа посетителей в игорные заведения, помимо предусмотренных законодательными актами.</w:t>
      </w:r>
    </w:p>
    <w:p w14:paraId="08911CD0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20. Организатор азартных игр обязан обеспечить:</w:t>
      </w:r>
    </w:p>
    <w:p w14:paraId="420B00EC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20.1. законность проведения азартных игр;</w:t>
      </w:r>
    </w:p>
    <w:p w14:paraId="3B2F41C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20.2. своевременную уплату налога на игорный бизнес;</w:t>
      </w:r>
    </w:p>
    <w:p w14:paraId="1EFAC27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20.3. компетентность и профессионализм привлеченных к организации и проведению азартных игр работников;</w:t>
      </w:r>
    </w:p>
    <w:p w14:paraId="1503F76D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20.4. выплату выигрыша (возврат </w:t>
      </w:r>
      <w:proofErr w:type="spellStart"/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несыгравших</w:t>
      </w:r>
      <w:proofErr w:type="spellEnd"/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ставок) в соответствии с правилами организации и проведения азартной игры, а в случае отсутствия необходимой суммы наличных денежных средств в кассе игорного заведения – в течение 24 часов с момента обращения участника азартной игры за получением выигрыша (</w:t>
      </w:r>
      <w:proofErr w:type="spellStart"/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несыгравших</w:t>
      </w:r>
      <w:proofErr w:type="spellEnd"/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ставок);</w:t>
      </w:r>
    </w:p>
    <w:p w14:paraId="5437C50C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20.5. проверку документов посетителя, подтверждающих наступление 18-летнего возраста, – при наличии сомнений в возрасте;</w:t>
      </w:r>
    </w:p>
    <w:p w14:paraId="7A8F3CE4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20.6. личную безопасность посетителей игорного заведения, охрану игорного заведения, в том числе его оборудования, с применением:</w:t>
      </w:r>
    </w:p>
    <w:p w14:paraId="641FE75E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технических средств систем ручной тревожной сигнализации, контроль за которыми осуществляется подразделениями Департамента охраны Министерства внутренних дел в рабочее время игорных заведений;</w:t>
      </w:r>
    </w:p>
    <w:p w14:paraId="36FBFAC2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технических средств систем охранной сигнализации, с использованием которых подразделениями Департамента охраны Министерства внутренних дел круглосуточно осуществляется охрана хранилищ (сейфовых комнат) игорных заведений (при наличии этих хранилищ или комнат), а в нерабочее время игорных заведений – охрана зданий (помещений) игорных заведений (кроме букмекерских контор и тотализаторов);</w:t>
      </w:r>
    </w:p>
    <w:p w14:paraId="7BCFB6BF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телевизионных систем видеонаблюдения высокого разрешения, обеспечивающих скорость записи не менее 5 кадров в секунду и длительность хранения записи не менее 30 суток (кроме букмекерских контор и тотализаторов).</w:t>
      </w:r>
    </w:p>
    <w:p w14:paraId="6AA2A828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21. Организатор азартных игр выплачивает денежный выигрыш только при предъявлении участником азартной игры документа, удостоверяющего его личность.</w:t>
      </w:r>
    </w:p>
    <w:p w14:paraId="7D1A0096" w14:textId="77777777" w:rsidR="003D530B" w:rsidRPr="003D530B" w:rsidRDefault="003D530B" w:rsidP="003D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D530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22. При осуществлении деятельности в сфере игорного бизнеса прием ставок в азартных играх наличными денежными средствами и (или) с использованием банковских пластиковых карточек в качестве средства осуществления расчетов на территории Республики Беларусь производится в порядке, установленном для приема наличных денежных средств и (или) расчетов с использованием банковских пластиковых карточек при реализации товаров (работ, услуг).</w:t>
      </w:r>
    </w:p>
    <w:p w14:paraId="0BBF02AC" w14:textId="77777777" w:rsidR="00891F9D" w:rsidRPr="003D530B" w:rsidRDefault="00891F9D">
      <w:pPr>
        <w:rPr>
          <w:lang w:val="ru-BY"/>
        </w:rPr>
      </w:pPr>
    </w:p>
    <w:sectPr w:rsidR="00891F9D" w:rsidRPr="003D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0B"/>
    <w:rsid w:val="003D530B"/>
    <w:rsid w:val="008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B162"/>
  <w15:chartTrackingRefBased/>
  <w15:docId w15:val="{4BAB83D8-DDF5-4D44-9C12-54BAC155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3D530B"/>
  </w:style>
  <w:style w:type="character" w:customStyle="1" w:styleId="promulgator">
    <w:name w:val="promulgator"/>
    <w:basedOn w:val="a0"/>
    <w:rsid w:val="003D530B"/>
  </w:style>
  <w:style w:type="paragraph" w:customStyle="1" w:styleId="newncpi">
    <w:name w:val="newncpi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3D530B"/>
  </w:style>
  <w:style w:type="character" w:customStyle="1" w:styleId="number">
    <w:name w:val="number"/>
    <w:basedOn w:val="a0"/>
    <w:rsid w:val="003D530B"/>
  </w:style>
  <w:style w:type="paragraph" w:customStyle="1" w:styleId="title">
    <w:name w:val="title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oint">
    <w:name w:val="point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rednoun">
    <w:name w:val="rednoun"/>
    <w:basedOn w:val="a0"/>
    <w:rsid w:val="003D530B"/>
  </w:style>
  <w:style w:type="character" w:customStyle="1" w:styleId="post">
    <w:name w:val="post"/>
    <w:basedOn w:val="a0"/>
    <w:rsid w:val="003D530B"/>
  </w:style>
  <w:style w:type="character" w:customStyle="1" w:styleId="pers">
    <w:name w:val="pers"/>
    <w:basedOn w:val="a0"/>
    <w:rsid w:val="003D530B"/>
  </w:style>
  <w:style w:type="paragraph" w:customStyle="1" w:styleId="cap1">
    <w:name w:val="cap1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u1">
    <w:name w:val="capu1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u">
    <w:name w:val="titleu"/>
    <w:basedOn w:val="a"/>
    <w:rsid w:val="003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3404</Words>
  <Characters>19405</Characters>
  <Application>Microsoft Office Word</Application>
  <DocSecurity>0</DocSecurity>
  <Lines>161</Lines>
  <Paragraphs>45</Paragraphs>
  <ScaleCrop>false</ScaleCrop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2021-12-23T09:50:00Z</dcterms:created>
  <dcterms:modified xsi:type="dcterms:W3CDTF">2021-12-23T09:50:00Z</dcterms:modified>
</cp:coreProperties>
</file>