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FB" w:rsidRDefault="00076CF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6CFB" w:rsidRDefault="00076CFB">
      <w:pPr>
        <w:pStyle w:val="ConsPlusNormal"/>
        <w:outlineLvl w:val="0"/>
      </w:pPr>
    </w:p>
    <w:p w:rsidR="00076CFB" w:rsidRDefault="00076CFB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76CFB" w:rsidRDefault="00076CFB">
      <w:pPr>
        <w:pStyle w:val="ConsPlusNormal"/>
        <w:spacing w:before="300"/>
        <w:jc w:val="both"/>
      </w:pPr>
      <w:r>
        <w:t>Республики Беларусь 31 декабря 2019 г. N 5/47627</w:t>
      </w:r>
    </w:p>
    <w:p w:rsidR="00076CFB" w:rsidRDefault="00076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6CFB" w:rsidRDefault="00076CFB">
      <w:pPr>
        <w:pStyle w:val="ConsPlusNormal"/>
      </w:pPr>
    </w:p>
    <w:p w:rsidR="00076CFB" w:rsidRDefault="00076CFB">
      <w:pPr>
        <w:pStyle w:val="ConsPlusTitle"/>
        <w:jc w:val="center"/>
      </w:pPr>
      <w:r>
        <w:t>ПОСТАНОВЛЕНИЕ СОВЕТА МИНИСТРОВ РЕСПУБЛИКИ БЕЛАРУСЬ</w:t>
      </w:r>
    </w:p>
    <w:p w:rsidR="00076CFB" w:rsidRDefault="00076CFB">
      <w:pPr>
        <w:pStyle w:val="ConsPlusTitle"/>
        <w:jc w:val="center"/>
      </w:pPr>
      <w:r>
        <w:t>30 декабря 2019 г. N 940</w:t>
      </w:r>
    </w:p>
    <w:p w:rsidR="00076CFB" w:rsidRDefault="00076CFB">
      <w:pPr>
        <w:pStyle w:val="ConsPlusTitle"/>
        <w:jc w:val="center"/>
      </w:pPr>
    </w:p>
    <w:p w:rsidR="00076CFB" w:rsidRDefault="00076CFB">
      <w:pPr>
        <w:pStyle w:val="ConsPlusTitle"/>
        <w:jc w:val="center"/>
      </w:pPr>
      <w:r>
        <w:t>О ФУНКЦИОНИРОВАНИИ МЕХАНИЗМА ЭЛЕКТРОННЫХ НАКЛАДНЫХ</w:t>
      </w:r>
    </w:p>
    <w:p w:rsidR="00076CFB" w:rsidRDefault="00076CFB">
      <w:pPr>
        <w:pStyle w:val="ConsPlusNormal"/>
      </w:pPr>
    </w:p>
    <w:p w:rsidR="00076CFB" w:rsidRDefault="00076CFB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подпункта 2.1 пункта 2</w:t>
        </w:r>
      </w:hyperlink>
      <w:r>
        <w:t xml:space="preserve"> Указа Президента Республики Беларусь от 31 октября 2019 г. N 411 "О налогообложении" Совет Министров Республики Беларусь ПОСТАНОВЛЯЕТ: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1. Установить, что: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 xml:space="preserve">1.1. субъекты хозяйствования вправе при наличии у них программных и технических средств использовать электронные накладные </w:t>
      </w:r>
      <w:hyperlink w:anchor="P14" w:history="1">
        <w:r>
          <w:rPr>
            <w:color w:val="0000FF"/>
          </w:rPr>
          <w:t>&lt;*&gt;</w:t>
        </w:r>
      </w:hyperlink>
      <w:r>
        <w:t>, а также в виде электронных документов транспортные (товаросопроводительные) и (или) иные документы, подтверждающие перемещение товаров при осуществлении взаимной торговли между государствами - членами Евразийского экономического союза (далее - транспортные и иные документы);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--------------------------------</w:t>
      </w:r>
    </w:p>
    <w:p w:rsidR="00076CFB" w:rsidRDefault="00076CFB">
      <w:pPr>
        <w:pStyle w:val="ConsPlusNormal"/>
        <w:spacing w:before="300"/>
        <w:ind w:firstLine="540"/>
        <w:jc w:val="both"/>
      </w:pPr>
      <w:bookmarkStart w:id="0" w:name="P14"/>
      <w:bookmarkEnd w:id="0"/>
      <w:r>
        <w:t xml:space="preserve">&lt;*&gt; Для целей настоящего постановления термин "электронные накладные" используется в значении, определенном в </w:t>
      </w:r>
      <w:hyperlink r:id="rId6" w:history="1">
        <w:r>
          <w:rPr>
            <w:color w:val="0000FF"/>
          </w:rPr>
          <w:t>подпункте 2.1 пункта 2</w:t>
        </w:r>
      </w:hyperlink>
      <w:r>
        <w:t xml:space="preserve"> Указа Президента Республики Беларусь от 31 октября 2019 г. N 411.</w:t>
      </w:r>
    </w:p>
    <w:p w:rsidR="00076CFB" w:rsidRDefault="00076CFB">
      <w:pPr>
        <w:pStyle w:val="ConsPlusNormal"/>
      </w:pPr>
    </w:p>
    <w:p w:rsidR="00076CFB" w:rsidRDefault="00076CFB">
      <w:pPr>
        <w:pStyle w:val="ConsPlusNormal"/>
        <w:ind w:firstLine="540"/>
        <w:jc w:val="both"/>
      </w:pPr>
      <w:r>
        <w:t>1.2. электронные накладные, а также транспортные и иные документы создаются в соответствии с требованиями законодательства в сфере обращения электронных документов и электронной цифровой подписи (далее - ЭЦП);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 xml:space="preserve">1.3. создание, передача и получение электронных накладных, а также транспортных и иных документов осуществляются через систему </w:t>
      </w:r>
      <w:r>
        <w:lastRenderedPageBreak/>
        <w:t>электронного обмена данными (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Interchange</w:t>
      </w:r>
      <w:proofErr w:type="spellEnd"/>
      <w:r>
        <w:t xml:space="preserve"> (EDI) (далее - электронный документооборот) на основании соглашений, заключаемых между оператором электронного документооборота - резидентом Республики Беларусь (далее - EDI-провайдер) и другими участниками электронного документооборота;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 xml:space="preserve">1.4. участниками электронного документооборота признаются грузоотправитель, грузополучатель и EDI-провайдер, если иное не предусмотрено в </w:t>
      </w:r>
      <w:hyperlink w:anchor="P19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20" w:history="1">
        <w:r>
          <w:rPr>
            <w:color w:val="0000FF"/>
          </w:rPr>
          <w:t>третьей</w:t>
        </w:r>
      </w:hyperlink>
      <w:r>
        <w:t xml:space="preserve"> настоящего подпункта.</w:t>
      </w:r>
    </w:p>
    <w:p w:rsidR="00076CFB" w:rsidRDefault="00076CFB">
      <w:pPr>
        <w:pStyle w:val="ConsPlusNormal"/>
        <w:spacing w:before="300"/>
        <w:ind w:firstLine="540"/>
        <w:jc w:val="both"/>
      </w:pPr>
      <w:bookmarkStart w:id="1" w:name="P19"/>
      <w:bookmarkEnd w:id="1"/>
      <w:r>
        <w:t>Автомобильный перевозчик может выступать участником электронного документооборота, если между ним, грузоотправителем и грузополучателем достигнуто соглашение об участии в электронном документообороте. При использовании международной товарно-транспортной накладной "CMR" в виде электронного документа (</w:t>
      </w:r>
      <w:proofErr w:type="spellStart"/>
      <w:r>
        <w:t>e-CMR</w:t>
      </w:r>
      <w:proofErr w:type="spellEnd"/>
      <w:r>
        <w:t>) участниками электронного документооборота признаются грузоотправитель, грузополучатель, автомобильный перевозчик и EDI-провайдер.</w:t>
      </w:r>
    </w:p>
    <w:p w:rsidR="00076CFB" w:rsidRDefault="00076CFB">
      <w:pPr>
        <w:pStyle w:val="ConsPlusNormal"/>
        <w:spacing w:before="300"/>
        <w:ind w:firstLine="540"/>
        <w:jc w:val="both"/>
      </w:pPr>
      <w:bookmarkStart w:id="2" w:name="P20"/>
      <w:bookmarkEnd w:id="2"/>
      <w:r>
        <w:t>При передаче электронных сообщений, создаваемых грузоотправителем при отгрузке товаров в адрес организации, местом нахождения которой не является Республика Беларусь, а также иностранного гражданина и лица без гражданства, осуществляющих предпринимательскую и иную хозяйственную (экономическую) деятельность, участником электронного документооборота признаются грузоотправитель и EDI-провайдер;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 xml:space="preserve">1.5. электронные накладные считаются созданными и приобретают юридическую силу, за исключением случаев, установленных в </w:t>
      </w:r>
      <w:hyperlink w:anchor="P24" w:history="1">
        <w:r>
          <w:rPr>
            <w:color w:val="0000FF"/>
          </w:rPr>
          <w:t>части второй</w:t>
        </w:r>
      </w:hyperlink>
      <w:r>
        <w:t xml:space="preserve"> настоящего подпункта, если они:</w:t>
      </w:r>
    </w:p>
    <w:p w:rsidR="00076CFB" w:rsidRDefault="00076CFB">
      <w:pPr>
        <w:pStyle w:val="ConsPlusNormal"/>
        <w:spacing w:before="300"/>
        <w:ind w:firstLine="540"/>
        <w:jc w:val="both"/>
      </w:pPr>
      <w:proofErr w:type="gramStart"/>
      <w:r>
        <w:t>подписаны ЭЦП ответственных лиц участников электронного документооборота, выработанной с использованием личных ключей, сертификаты открытых ключей которых изданы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  <w:proofErr w:type="gramEnd"/>
      <w:r>
        <w:t xml:space="preserve"> Подтверждение полномочий ответственных лиц участников электронного документооборота на подписание электронных накладных осуществляется с использованием атрибутных сертификатов;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переданы и получены через EDI-провайдер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).</w:t>
      </w:r>
    </w:p>
    <w:p w:rsidR="00076CFB" w:rsidRDefault="00076CFB">
      <w:pPr>
        <w:pStyle w:val="ConsPlusNormal"/>
        <w:spacing w:before="300"/>
        <w:ind w:firstLine="540"/>
        <w:jc w:val="both"/>
      </w:pPr>
      <w:bookmarkStart w:id="3" w:name="P24"/>
      <w:bookmarkEnd w:id="3"/>
      <w:proofErr w:type="gramStart"/>
      <w:r>
        <w:lastRenderedPageBreak/>
        <w:t>Электронные сообщения, создаваемые грузоотправителем при отгрузке товаров в адрес организации, местом нахождения которой не является Республика Беларусь, а также иностранного гражданина и лица без гражданства, осуществляющих предпринимательскую и иную хозяйственную (экономическую) деятельность, считаются созданными и приобретают юридическую силу, если они подписаны ЭЦП ответственных лиц грузоотправителя, выработанной с использованием личных ключей, сертификаты открытых ключей которых изданы республиканским удостоверяющим центром Государственной системы</w:t>
      </w:r>
      <w:proofErr w:type="gramEnd"/>
      <w:r>
        <w:t xml:space="preserve"> управления открытыми ключами проверки электронной цифровой подписи Республики Беларусь, и переданы EDI-провайдеру;</w:t>
      </w:r>
    </w:p>
    <w:p w:rsidR="00076CFB" w:rsidRDefault="00076CFB">
      <w:pPr>
        <w:pStyle w:val="ConsPlusNormal"/>
        <w:spacing w:before="300"/>
        <w:ind w:firstLine="540"/>
        <w:jc w:val="both"/>
      </w:pPr>
      <w:bookmarkStart w:id="4" w:name="P25"/>
      <w:bookmarkEnd w:id="4"/>
      <w:r>
        <w:t>1.6. транспортные и иные документы считаются созданными и приобретают юридическую силу, если: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 xml:space="preserve">они подписаны ЭЦП ответственных лиц участников электронного документооборота, </w:t>
      </w:r>
      <w:proofErr w:type="gramStart"/>
      <w:r>
        <w:t>выработанной</w:t>
      </w:r>
      <w:proofErr w:type="gramEnd"/>
      <w:r>
        <w:t xml:space="preserve"> в соответствии с национальным законодательством государства - члена Евразийского экономического союза (далее - ЕАЭС);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они переданы из Республики Беларусь и (или) получены в Республике Беларусь через EDI-провайдеров;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установлено доверие к ЭЦП, а также транспортному и иному документу национальным оператором доверенной третьей стороны по признанию подлинности электронных документов при межгосударственном электронном взаимодействии в соответствии с законодательством Республики Беларусь.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 xml:space="preserve">Положения </w:t>
      </w:r>
      <w:hyperlink w:anchor="P25" w:history="1">
        <w:r>
          <w:rPr>
            <w:color w:val="0000FF"/>
          </w:rPr>
          <w:t>части первой</w:t>
        </w:r>
      </w:hyperlink>
      <w:r>
        <w:t xml:space="preserve"> настоящего подпункта распространяются на международную товарно-транспортную накладную "CMR" в виде электронного документа (</w:t>
      </w:r>
      <w:proofErr w:type="spellStart"/>
      <w:r>
        <w:t>e-CMR</w:t>
      </w:r>
      <w:proofErr w:type="spellEnd"/>
      <w:r>
        <w:t>), которая может применяться при отгрузке товаров в адрес организации, местом нахождения которой не является Республика Беларусь, а также иностранного гражданина и лица без гражданства, осуществляющих предпринимательскую и иную хозяйственную (экономическую) деятельность;</w:t>
      </w:r>
    </w:p>
    <w:p w:rsidR="00076CFB" w:rsidRDefault="00076CFB">
      <w:pPr>
        <w:pStyle w:val="ConsPlusNormal"/>
        <w:spacing w:before="300"/>
        <w:ind w:firstLine="540"/>
        <w:jc w:val="both"/>
      </w:pPr>
      <w:bookmarkStart w:id="5" w:name="P30"/>
      <w:bookmarkEnd w:id="5"/>
      <w:r>
        <w:t>1.7. информация об электронных накладных, а также транспортных и иных документах предоставляется налоговым и таможенным органам посредством удаленного доступа к информационной системе электронного документооборота;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 xml:space="preserve">1.8. подтверждение целостности и подлинности электронных </w:t>
      </w:r>
      <w:r>
        <w:lastRenderedPageBreak/>
        <w:t>накладных осуществляется путем применения сертифицированных средств ЭЦП с использованием сертификатов открытых ключей лиц, подписавших данные электронные накладные. Подтверждение полномочий ответственных лиц участников электронного документооборота на подписание электронных накладных осуществляется с использованием атрибутных сертификатов;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 xml:space="preserve">1.9. идентификация участников электронного документооборота при создании электронной накладной осуществляется с использованием международных идентификационных номеров участников хозяйственной операции (глобальных номеров расположения -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(GLN), присваиваемых системой автоматической идентификации ГС</w:t>
      </w:r>
      <w:proofErr w:type="gramStart"/>
      <w:r>
        <w:t>1</w:t>
      </w:r>
      <w:proofErr w:type="gramEnd"/>
      <w:r>
        <w:t xml:space="preserve"> Беларуси;</w:t>
      </w:r>
    </w:p>
    <w:p w:rsidR="00076CFB" w:rsidRDefault="00076CFB">
      <w:pPr>
        <w:pStyle w:val="ConsPlusNormal"/>
        <w:spacing w:before="300"/>
        <w:ind w:firstLine="540"/>
        <w:jc w:val="both"/>
      </w:pPr>
      <w:bookmarkStart w:id="6" w:name="P33"/>
      <w:bookmarkEnd w:id="6"/>
      <w:r>
        <w:t>1.10. информация об электронных накладных, а также транспортных и иных документах, которая хранится EDI-провайдерами в информационной системе электронного документооборота, является конфиденциальной.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 xml:space="preserve">Распространение и (или) предоставление EDI-провайдерами информации, указанной в </w:t>
      </w:r>
      <w:hyperlink w:anchor="P33" w:history="1">
        <w:r>
          <w:rPr>
            <w:color w:val="0000FF"/>
          </w:rPr>
          <w:t>части первой</w:t>
        </w:r>
      </w:hyperlink>
      <w:r>
        <w:t xml:space="preserve"> настоящего подпункта, без согласия ее обладателя, за исключением ее предоставления налоговым и таможенным органам в соответствии с </w:t>
      </w:r>
      <w:hyperlink w:anchor="P30" w:history="1">
        <w:r>
          <w:rPr>
            <w:color w:val="0000FF"/>
          </w:rPr>
          <w:t>подпунктом 1.7</w:t>
        </w:r>
      </w:hyperlink>
      <w:r>
        <w:t xml:space="preserve"> настоящего пункта, влечет ответственность, предусмотренную законодательством.</w:t>
      </w:r>
    </w:p>
    <w:p w:rsidR="00076CFB" w:rsidRDefault="00076CFB">
      <w:pPr>
        <w:pStyle w:val="ConsPlusNormal"/>
        <w:spacing w:before="300"/>
        <w:ind w:firstLine="540"/>
        <w:jc w:val="both"/>
      </w:pPr>
      <w:bookmarkStart w:id="7" w:name="P35"/>
      <w:bookmarkEnd w:id="7"/>
      <w:r>
        <w:t xml:space="preserve">Информация, указанная в </w:t>
      </w:r>
      <w:hyperlink w:anchor="P33" w:history="1">
        <w:r>
          <w:rPr>
            <w:color w:val="0000FF"/>
          </w:rPr>
          <w:t>части первой</w:t>
        </w:r>
      </w:hyperlink>
      <w:r>
        <w:t xml:space="preserve"> настоящего подпункта, может быть предоставлена на основании письменного запроса (иного документа, составляемого в соответствии с законодательством) не позднее семи рабочих дней со дня его получения, если иной срок не предусмотрен законодательством: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привлеченному эксперту, специалисту, контролирующим (надзорным) органам при проведении проверок;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суду;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правоохранительным органам, органам принудительного исполнения, а также должностным лицам этих органов при исполнении ими своих служебных обязанностей;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иным органам и их должностным лицам в соответствии с законодательными актами.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lastRenderedPageBreak/>
        <w:t xml:space="preserve">Удостоверение копии электронной накладной производится (при необходимости) по запросам органов и должностных лиц, указанных в </w:t>
      </w:r>
      <w:hyperlink w:anchor="P35" w:history="1">
        <w:r>
          <w:rPr>
            <w:color w:val="0000FF"/>
          </w:rPr>
          <w:t>части третьей</w:t>
        </w:r>
      </w:hyperlink>
      <w:r>
        <w:t xml:space="preserve"> настоящего подпункта, на безвозмездной основе;</w:t>
      </w:r>
    </w:p>
    <w:p w:rsidR="00076CFB" w:rsidRDefault="00076CFB">
      <w:pPr>
        <w:pStyle w:val="ConsPlusNormal"/>
        <w:spacing w:before="300"/>
        <w:ind w:firstLine="540"/>
        <w:jc w:val="both"/>
      </w:pPr>
      <w:bookmarkStart w:id="8" w:name="P41"/>
      <w:bookmarkEnd w:id="8"/>
      <w:r>
        <w:t>1.11. требованиями, предъявляемыми к EDI-провайдеру, являются: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соблюдение законодательства в сфере обращения электронных документов и ЭЦП;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возможность круглосуточного и бесперебойного получения, передачи электронных накладных, а также транспортных и иных документов по телекоммуникационным каналам связи;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наличие программно-аппаратных средств, расположенных на территории Республики Беларусь, с использованием которых осуществляется электронный документооборот в утвержденных форматах и порядке, установленных законодательством;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функционирование электронного документооборота с использованием информационной системы, формирующей базу данных об участниках электронного документооборота (грузоотправитель, грузополучатель, автомобильный перевозчик), об электронных накладных, а также транспортных и иных документах;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защита и хранение информации об электронных накладных, а также транспортных и иных документах, формируемой информационной системой электронного документооборота, в том числе наличие системы резервного копирования, обеспечивающей сохранность данной информации;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круглосуточное предоставление налоговым и таможенным органам на безвозмездной основе информации об электронных накладных, а также транспортных и иных документах посредством удаленного доступа к информационной системе электронного документооборота;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наличие аттестата оператора электронного документооборота (далее - аттестат), полученного в порядке, установленном законодательством об административных процедурах;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подключение в качестве участника электронного документооборота к системе электронного документооборота на основании гражданско-правового договора с другим (другими) EDI-провайдеро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 xml:space="preserve">) для создания, передачи и получения электронных накладных и (или) </w:t>
      </w:r>
      <w:r>
        <w:lastRenderedPageBreak/>
        <w:t>транспортных и иных документов, если EDI-провайдер выступает в качестве грузоотправителя, или грузополучателя, или автомобильного перевозчика. Указанное требование не распространяется на республиканские юридические лица, подчиненные государственным органам (входящие в их систему) либо входящие в состав государственных организаций, подчиненных Совету Министров Республики Беларусь.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2. Определить, что: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2.1. товарно-транспортные и товарные накладные в виде электронных документов должны содержать сведения и реквизиты, указанные в формах таких документов, установленных Министерством финансов. Электронные сообщения, создаваемые грузоотправителем при отгрузке товаров в адрес организации, местом нахождения которой не является Республика Беларусь, а также иностранного гражданина и лица без гражданства, осуществляющих предпринимательскую и иную хозяйственную (экономическую) деятельность, создаются по форме товарной накладной, установленной Министерством финансов.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Международная товарно-транспортная накладная "CMR" в виде электронного документа (</w:t>
      </w:r>
      <w:proofErr w:type="spellStart"/>
      <w:r>
        <w:t>e-CMR</w:t>
      </w:r>
      <w:proofErr w:type="spellEnd"/>
      <w:r>
        <w:t xml:space="preserve">) должна содержать сведения и реквизиты, указанные в </w:t>
      </w:r>
      <w:hyperlink r:id="rId7" w:history="1">
        <w:r>
          <w:rPr>
            <w:color w:val="0000FF"/>
          </w:rPr>
          <w:t>форме</w:t>
        </w:r>
      </w:hyperlink>
      <w:r>
        <w:t xml:space="preserve"> международной товарно-транспортной накладной "CMR", установленной Министерством транспорта и коммуникаций;</w:t>
      </w:r>
    </w:p>
    <w:p w:rsidR="00076CFB" w:rsidRDefault="00076CFB">
      <w:pPr>
        <w:pStyle w:val="ConsPlusNormal"/>
        <w:spacing w:before="300"/>
        <w:ind w:firstLine="540"/>
        <w:jc w:val="both"/>
      </w:pPr>
      <w:bookmarkStart w:id="9" w:name="P53"/>
      <w:bookmarkEnd w:id="9"/>
      <w:r>
        <w:t>2.2. в дополнение к обязательным для заполнения реквизитам товарно-транспортных и товарных накладных, составляемых на бумажном носителе, в электронных накладных указываются: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 xml:space="preserve">международные идентификационные коды участников хозяйственной операции (глобальные номера расположения -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(GLN), присваиваемые системой автоматической идентификации ГС</w:t>
      </w:r>
      <w:proofErr w:type="gramStart"/>
      <w:r>
        <w:t>1</w:t>
      </w:r>
      <w:proofErr w:type="gramEnd"/>
      <w:r>
        <w:t xml:space="preserve"> Беларуси;</w:t>
      </w:r>
    </w:p>
    <w:p w:rsidR="00076CFB" w:rsidRDefault="00076CFB">
      <w:pPr>
        <w:pStyle w:val="ConsPlusNormal"/>
        <w:spacing w:before="300"/>
        <w:ind w:firstLine="540"/>
        <w:jc w:val="both"/>
      </w:pPr>
      <w:proofErr w:type="gramStart"/>
      <w:r>
        <w:t xml:space="preserve">международный идентификационный номер товара (глобальный номер торговой единицы -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(GTIN).</w:t>
      </w:r>
      <w:proofErr w:type="gramEnd"/>
    </w:p>
    <w:p w:rsidR="00076CFB" w:rsidRDefault="00076CFB">
      <w:pPr>
        <w:pStyle w:val="ConsPlusNormal"/>
        <w:spacing w:before="300"/>
        <w:ind w:firstLine="540"/>
        <w:jc w:val="both"/>
      </w:pPr>
      <w:r>
        <w:t xml:space="preserve">Источником информации, указанной в </w:t>
      </w:r>
      <w:hyperlink w:anchor="P53" w:history="1">
        <w:r>
          <w:rPr>
            <w:color w:val="0000FF"/>
          </w:rPr>
          <w:t>части первой</w:t>
        </w:r>
      </w:hyperlink>
      <w:r>
        <w:t xml:space="preserve"> настоящего подпункта, является межведомственная распределенная информационная система "Банк данных электронных паспортов товаров".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lastRenderedPageBreak/>
        <w:t>Национальная академия наук Беларуси совместно с Министерством финансов, Министерством по налогам и сборам и Министерством связи и информатизации по согласованию с Оперативно-аналитическим центром при Президенте Республики Беларусь вправе устанавливать дополнительные реквизиты электронных накладных, не являющиеся обязательными для заполнения;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 xml:space="preserve">2.3. требования к процессу создания, передачи и получения транспортных и иных документов определяются в порядке, аналогичном предусмотренному в </w:t>
      </w:r>
      <w:hyperlink r:id="rId8" w:history="1">
        <w:r>
          <w:rPr>
            <w:color w:val="0000FF"/>
          </w:rPr>
          <w:t>подпункте 2.2 пункта 2</w:t>
        </w:r>
      </w:hyperlink>
      <w:r>
        <w:t xml:space="preserve"> Указа Президента Республики Беларусь от 31 октября 2019 г. N 411.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3. Информация об EDI-провайдерах, получивших в установленном законодательством порядке аттестат, размещается в глобальной компьютерной сети Интернет на официальном сайте научно-инженерного республиканского унитарного предприятия "Межотраслевой научно-практический центр систем идентификации и электронных деловых операций" Национальной академии наук Беларуси в течение одного рабочего дня, следующего за днем выдачи аттестата.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 xml:space="preserve">Орган, осуществляющий выдачу аттестата, принимает решение об отказе в его выдаче при наличии оснований, предусмотренных законодательством об административных процедурах, а также </w:t>
      </w:r>
      <w:proofErr w:type="gramStart"/>
      <w:r>
        <w:t>при</w:t>
      </w:r>
      <w:proofErr w:type="gramEnd"/>
      <w:r>
        <w:t>:</w:t>
      </w:r>
    </w:p>
    <w:p w:rsidR="00076CFB" w:rsidRDefault="00076CFB">
      <w:pPr>
        <w:pStyle w:val="ConsPlusNormal"/>
        <w:spacing w:before="300"/>
        <w:ind w:firstLine="540"/>
        <w:jc w:val="both"/>
      </w:pPr>
      <w:proofErr w:type="gramStart"/>
      <w:r>
        <w:t>нахождении</w:t>
      </w:r>
      <w:proofErr w:type="gramEnd"/>
      <w:r>
        <w:t xml:space="preserve"> заявителя в процессе ликвидации либо открытии в отношении заявителя конкурсного производства в соответствии с законодательством об экономической несостоятельности (банкротстве);</w:t>
      </w:r>
    </w:p>
    <w:p w:rsidR="00076CFB" w:rsidRDefault="00076CFB">
      <w:pPr>
        <w:pStyle w:val="ConsPlusNormal"/>
        <w:spacing w:before="300"/>
        <w:ind w:firstLine="540"/>
        <w:jc w:val="both"/>
      </w:pPr>
      <w:proofErr w:type="gramStart"/>
      <w:r>
        <w:t>обращении</w:t>
      </w:r>
      <w:proofErr w:type="gramEnd"/>
      <w:r>
        <w:t xml:space="preserve"> за получением аттестата до истечения одного года со дня прекращения его действия по основаниям, предусмотренным в </w:t>
      </w:r>
      <w:hyperlink w:anchor="P6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67" w:history="1">
        <w:r>
          <w:rPr>
            <w:color w:val="0000FF"/>
          </w:rPr>
          <w:t>четвертом части третьей</w:t>
        </w:r>
      </w:hyperlink>
      <w:r>
        <w:t xml:space="preserve"> настоящего подпункта.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Действие аттестата прекращается в случаях:</w:t>
      </w:r>
    </w:p>
    <w:p w:rsidR="00076CFB" w:rsidRDefault="00076CFB">
      <w:pPr>
        <w:pStyle w:val="ConsPlusNormal"/>
        <w:spacing w:before="300"/>
        <w:ind w:firstLine="540"/>
        <w:jc w:val="both"/>
      </w:pPr>
      <w:bookmarkStart w:id="10" w:name="P64"/>
      <w:bookmarkEnd w:id="10"/>
      <w:r>
        <w:t>истечения срока, на который он был выдан;</w:t>
      </w:r>
    </w:p>
    <w:p w:rsidR="00076CFB" w:rsidRDefault="00076C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76C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6CFB" w:rsidRDefault="00076CFB">
            <w:pPr>
              <w:pStyle w:val="ConsPlusNormal"/>
              <w:jc w:val="both"/>
            </w:pPr>
            <w:r>
              <w:rPr>
                <w:color w:val="392C69"/>
              </w:rPr>
              <w:t>Абзац третий части третьей пункта 3 вступает в силу через три месяца после официального опубликования (</w:t>
            </w:r>
            <w:hyperlink w:anchor="P77" w:history="1">
              <w:r>
                <w:rPr>
                  <w:color w:val="0000FF"/>
                </w:rPr>
                <w:t>абзац второй пункта 6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76CFB" w:rsidRDefault="00076CFB">
      <w:pPr>
        <w:pStyle w:val="ConsPlusNormal"/>
        <w:spacing w:before="380"/>
        <w:ind w:firstLine="540"/>
        <w:jc w:val="both"/>
      </w:pPr>
      <w:bookmarkStart w:id="11" w:name="P66"/>
      <w:bookmarkEnd w:id="11"/>
      <w:r>
        <w:t xml:space="preserve">систематического (два раза и более в течение календарного года) </w:t>
      </w:r>
      <w:r>
        <w:lastRenderedPageBreak/>
        <w:t xml:space="preserve">нарушения порядка передачи, получения, хранения электронных накладных и (или) ненадлежащего исполнения (неисполнения) EDI-провайдером требований, предусмотренных в </w:t>
      </w:r>
      <w:hyperlink w:anchor="P41" w:history="1">
        <w:r>
          <w:rPr>
            <w:color w:val="0000FF"/>
          </w:rPr>
          <w:t>подпункте 1.11 пункта 1</w:t>
        </w:r>
      </w:hyperlink>
      <w:r>
        <w:t xml:space="preserve"> настоящего постановления;</w:t>
      </w:r>
    </w:p>
    <w:p w:rsidR="00076CFB" w:rsidRDefault="00076CFB">
      <w:pPr>
        <w:pStyle w:val="ConsPlusNormal"/>
        <w:spacing w:before="300"/>
        <w:ind w:firstLine="540"/>
        <w:jc w:val="both"/>
      </w:pPr>
      <w:bookmarkStart w:id="12" w:name="P67"/>
      <w:bookmarkEnd w:id="12"/>
      <w:r>
        <w:t xml:space="preserve">признания недействительным аттестата вследствие установления </w:t>
      </w:r>
      <w:proofErr w:type="gramStart"/>
      <w:r>
        <w:t>фактов о представлении</w:t>
      </w:r>
      <w:proofErr w:type="gramEnd"/>
      <w:r>
        <w:t xml:space="preserve"> для его получения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076CFB" w:rsidRDefault="00076CFB">
      <w:pPr>
        <w:pStyle w:val="ConsPlusNormal"/>
        <w:spacing w:before="300"/>
        <w:ind w:firstLine="540"/>
        <w:jc w:val="both"/>
      </w:pPr>
      <w:bookmarkStart w:id="13" w:name="P68"/>
      <w:bookmarkEnd w:id="13"/>
      <w:r>
        <w:t>поступления заявления EDI-провайдера о прекращении им деятельности EDI-провайдера.</w:t>
      </w:r>
    </w:p>
    <w:p w:rsidR="00076CFB" w:rsidRDefault="00076CFB">
      <w:pPr>
        <w:pStyle w:val="ConsPlusNormal"/>
        <w:spacing w:before="300"/>
        <w:ind w:firstLine="540"/>
        <w:jc w:val="both"/>
      </w:pPr>
      <w:proofErr w:type="gramStart"/>
      <w:r>
        <w:t xml:space="preserve">Действие аттестата, за исключением случая, указанного в </w:t>
      </w:r>
      <w:hyperlink w:anchor="P64" w:history="1">
        <w:r>
          <w:rPr>
            <w:color w:val="0000FF"/>
          </w:rPr>
          <w:t>абзаце втором части третьей</w:t>
        </w:r>
      </w:hyperlink>
      <w:r>
        <w:t xml:space="preserve"> настоящего пункта, прекращается по решению органа, осуществляющего выдачу аттестата, в десятидневный срок со дня поступления в данный орган информации об установлении фактов, указанных в </w:t>
      </w:r>
      <w:hyperlink w:anchor="P6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67" w:history="1">
        <w:r>
          <w:rPr>
            <w:color w:val="0000FF"/>
          </w:rPr>
          <w:t>четвертом части третьей</w:t>
        </w:r>
      </w:hyperlink>
      <w:r>
        <w:t xml:space="preserve"> настоящего пункта, либо заявления, указанного в </w:t>
      </w:r>
      <w:hyperlink w:anchor="P68" w:history="1">
        <w:r>
          <w:rPr>
            <w:color w:val="0000FF"/>
          </w:rPr>
          <w:t>абзаце пятом части третьей</w:t>
        </w:r>
      </w:hyperlink>
      <w:r>
        <w:t xml:space="preserve"> настоящего пункта.</w:t>
      </w:r>
      <w:proofErr w:type="gramEnd"/>
    </w:p>
    <w:p w:rsidR="00076CFB" w:rsidRDefault="00076CFB">
      <w:pPr>
        <w:pStyle w:val="ConsPlusNormal"/>
        <w:spacing w:before="300"/>
        <w:ind w:firstLine="540"/>
        <w:jc w:val="both"/>
      </w:pPr>
      <w:r>
        <w:t>Действие аттестата прекращается в срок, указанный в решении о прекращении действия аттестата, который не может превышать десяти рабочих дней со дня принятия такого решения. Информация о прекращении действия аттестата с указанием даты его прекращения размещается в глобальной компьютерной сети Интернет на официальном сайте научно-инженерного республиканского унитарного предприятия "Межотраслевой научно-практический центр систем идентификации и электронных деловых операций" Национальной академии наук Беларуси в течение одного рабочего дня со дня принятия такого решения.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EDI-провайдер обязан в течение десяти рабочих дней со дня принятия решения о прекращении действия аттестата возвратить аттестат в орган, осуществивший его выдачу, а также уведомить об этом субъектов предпринимательской деятельности, заключивших с EDI-провайдером договор о подключении к системе электронного документооборота.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4. Внести изменения в следующие постановления Совета Министров Республики Беларусь:</w:t>
      </w:r>
    </w:p>
    <w:p w:rsidR="00076CFB" w:rsidRDefault="00076CFB">
      <w:pPr>
        <w:pStyle w:val="ConsPlusNormal"/>
        <w:spacing w:before="300"/>
        <w:ind w:firstLine="540"/>
        <w:jc w:val="both"/>
      </w:pPr>
      <w:hyperlink r:id="rId9" w:history="1">
        <w:r>
          <w:rPr>
            <w:color w:val="0000FF"/>
          </w:rPr>
          <w:t>подпункт 4.68-11 пункта 4</w:t>
        </w:r>
      </w:hyperlink>
      <w:r>
        <w:t xml:space="preserve"> Положения о Министерстве финансов </w:t>
      </w:r>
      <w:r>
        <w:lastRenderedPageBreak/>
        <w:t>Республики Беларусь, утвержденного постановлением Совета Министров Республики Беларусь от 31 октября 2001 г. N 1585, исключить;</w:t>
      </w:r>
    </w:p>
    <w:p w:rsidR="00076CFB" w:rsidRDefault="00076CFB">
      <w:pPr>
        <w:pStyle w:val="ConsPlusNormal"/>
        <w:spacing w:before="300"/>
        <w:ind w:firstLine="540"/>
        <w:jc w:val="both"/>
      </w:pPr>
      <w:hyperlink r:id="rId10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Совета Министров Республики Беларусь от 7 марта 2014 г. N 202 "О создании товарно-транспортных и товарных накладных в виде электронных документов, а также предоставлении информации о них и внесении дополнений в постановления Совета Министров Республики Беларусь от 31 октября 2001 г. N 1585 и от 17 февраля 2012 г. N 156" исключить.</w:t>
      </w:r>
      <w:proofErr w:type="gramEnd"/>
    </w:p>
    <w:p w:rsidR="00076CFB" w:rsidRDefault="00076CFB">
      <w:pPr>
        <w:pStyle w:val="ConsPlusNormal"/>
        <w:spacing w:before="300"/>
        <w:ind w:firstLine="540"/>
        <w:jc w:val="both"/>
      </w:pPr>
      <w:r>
        <w:t>5. Действие настоящего постановления не распространяется на правоотношения, связанные с созданием, передачей и получением транспортных и иных документов при перевозке грузов железнодорожным или воздушным транспортом.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6. Настоящее постановление вступает в силу в следующем порядке:</w:t>
      </w:r>
    </w:p>
    <w:bookmarkStart w:id="14" w:name="P77"/>
    <w:bookmarkEnd w:id="14"/>
    <w:p w:rsidR="00076CFB" w:rsidRDefault="00076CFB">
      <w:pPr>
        <w:pStyle w:val="ConsPlusNormal"/>
        <w:spacing w:before="300"/>
        <w:ind w:firstLine="540"/>
        <w:jc w:val="both"/>
      </w:pPr>
      <w:r>
        <w:fldChar w:fldCharType="begin"/>
      </w:r>
      <w:r>
        <w:instrText>HYPERLINK \l "P66"</w:instrText>
      </w:r>
      <w:r>
        <w:fldChar w:fldCharType="separate"/>
      </w:r>
      <w:r>
        <w:rPr>
          <w:color w:val="0000FF"/>
        </w:rPr>
        <w:t>абзац третий части третьей пункта 3</w:t>
      </w:r>
      <w:r>
        <w:fldChar w:fldCharType="end"/>
      </w:r>
      <w:r>
        <w:t xml:space="preserve"> - через три месяца после официального опубликования настоящего постановления;</w:t>
      </w:r>
    </w:p>
    <w:p w:rsidR="00076CFB" w:rsidRDefault="00076CFB">
      <w:pPr>
        <w:pStyle w:val="ConsPlusNormal"/>
        <w:spacing w:before="300"/>
        <w:ind w:firstLine="540"/>
        <w:jc w:val="both"/>
      </w:pPr>
      <w:r>
        <w:t>иные положения настоящего постановления - после его официального опубликования.</w:t>
      </w:r>
    </w:p>
    <w:p w:rsidR="00076CFB" w:rsidRDefault="00076CFB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76C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CFB" w:rsidRDefault="00076CFB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6CFB" w:rsidRDefault="00076CFB">
            <w:pPr>
              <w:pStyle w:val="ConsPlusNormal"/>
              <w:jc w:val="right"/>
            </w:pPr>
            <w:proofErr w:type="spellStart"/>
            <w:r>
              <w:t>С.Румас</w:t>
            </w:r>
            <w:proofErr w:type="spellEnd"/>
          </w:p>
        </w:tc>
      </w:tr>
    </w:tbl>
    <w:p w:rsidR="00076CFB" w:rsidRDefault="00076CFB">
      <w:pPr>
        <w:pStyle w:val="ConsPlusNormal"/>
      </w:pPr>
    </w:p>
    <w:p w:rsidR="00076CFB" w:rsidRDefault="00076CFB">
      <w:pPr>
        <w:pStyle w:val="ConsPlusNormal"/>
      </w:pPr>
    </w:p>
    <w:p w:rsidR="00076CFB" w:rsidRDefault="00076C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470" w:rsidRDefault="00817470"/>
    <w:sectPr w:rsidR="00817470" w:rsidSect="00D7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6CFB"/>
    <w:rsid w:val="00076CFB"/>
    <w:rsid w:val="00817470"/>
    <w:rsid w:val="00A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CF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76CF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76C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7D23C3589A818409BF5E5CEE564A7BD08FE8FF7EEB7F51BAD1CC72062663650977F8B56702DF1EFFCB82B58aD35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B7D23C3589A818409BF5E5CEE564A7BD08FE8FF7EEB9F31BA71FC72062663650977F8B56702DF1EFFCB82B53aD3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7D23C3589A818409BF5E5CEE564A7BD08FE8FF7EEB7F51BAD1CC72062663650977F8B56702DF1EFFCB82B59aD3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B7D23C3589A818409BF5E5CEE564A7BD08FE8FF7EEB7F51BAD1CC72062663650977F8B56702DF1EFFCB82B59aD3FL" TargetMode="External"/><Relationship Id="rId10" Type="http://schemas.openxmlformats.org/officeDocument/2006/relationships/hyperlink" Target="consultantplus://offline/ref=00B7D23C3589A818409BF5E5CEE564A7BD08FE8FF7EEBCF61DAF1CC72062663650977F8B56702DF1EFFCB82B5BaD3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B7D23C3589A818409BF5E5CEE564A7BD08FE8FF7EEB7F51EAD19C72062663650977F8B56702DF1EFFCB82F5EaD3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2575</Words>
  <Characters>14679</Characters>
  <Application>Microsoft Office Word</Application>
  <DocSecurity>0</DocSecurity>
  <Lines>122</Lines>
  <Paragraphs>34</Paragraphs>
  <ScaleCrop>false</ScaleCrop>
  <Company>Krokoz™</Company>
  <LinksUpToDate>false</LinksUpToDate>
  <CharactersWithSpaces>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e.balaker_</dc:creator>
  <cp:lastModifiedBy>e.balaker_</cp:lastModifiedBy>
  <cp:revision>1</cp:revision>
  <dcterms:created xsi:type="dcterms:W3CDTF">2020-01-10T11:55:00Z</dcterms:created>
  <dcterms:modified xsi:type="dcterms:W3CDTF">2020-01-10T11:56:00Z</dcterms:modified>
</cp:coreProperties>
</file>