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71"/>
        <w:gridCol w:w="326"/>
        <w:gridCol w:w="365"/>
        <w:gridCol w:w="827"/>
        <w:gridCol w:w="3895"/>
        <w:gridCol w:w="45"/>
      </w:tblGrid>
      <w:tr w:rsidR="0038533F" w:rsidRPr="00463294" w14:paraId="79C6A13D" w14:textId="77777777" w:rsidTr="004C19E0">
        <w:trPr>
          <w:gridAfter w:val="1"/>
          <w:wAfter w:w="45" w:type="dxa"/>
          <w:trHeight w:val="1414"/>
        </w:trPr>
        <w:tc>
          <w:tcPr>
            <w:tcW w:w="3971" w:type="dxa"/>
          </w:tcPr>
          <w:p w14:paraId="74D85413" w14:textId="77777777" w:rsidR="0038533F" w:rsidRPr="005700F2" w:rsidRDefault="0038533F" w:rsidP="004C19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М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Н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СТЭРСТВА</w:t>
            </w:r>
          </w:p>
          <w:p w14:paraId="2A1E5371" w14:textId="77777777" w:rsidR="0038533F" w:rsidRPr="005700F2" w:rsidRDefault="0038533F" w:rsidP="004C19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 xml:space="preserve">ПА ПАДАТКАХ 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 xml:space="preserve"> ЗБОРАХ</w:t>
            </w:r>
          </w:p>
          <w:p w14:paraId="6873D750" w14:textId="77777777" w:rsidR="0038533F" w:rsidRDefault="0038533F" w:rsidP="004C19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 xml:space="preserve"> БЕЛАРУСЬ</w:t>
            </w:r>
          </w:p>
          <w:p w14:paraId="3F17F9EB" w14:textId="77777777" w:rsidR="0038533F" w:rsidRPr="005700F2" w:rsidRDefault="0038533F" w:rsidP="004C19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  <w:p w14:paraId="15DB8EC1" w14:textId="77777777" w:rsidR="0038533F" w:rsidRDefault="0038533F" w:rsidP="004C19E0">
            <w:pPr>
              <w:jc w:val="center"/>
              <w:rPr>
                <w:sz w:val="18"/>
                <w:szCs w:val="18"/>
              </w:rPr>
            </w:pPr>
            <w:proofErr w:type="spellStart"/>
            <w:r w:rsidRPr="00AA7A49">
              <w:rPr>
                <w:sz w:val="18"/>
                <w:szCs w:val="18"/>
              </w:rPr>
              <w:t>вул</w:t>
            </w:r>
            <w:proofErr w:type="spellEnd"/>
            <w:r w:rsidRPr="00AA7A49">
              <w:rPr>
                <w:sz w:val="18"/>
                <w:szCs w:val="18"/>
              </w:rPr>
              <w:t xml:space="preserve">. </w:t>
            </w:r>
            <w:proofErr w:type="spellStart"/>
            <w:r w:rsidRPr="00AA7A49">
              <w:rPr>
                <w:sz w:val="18"/>
                <w:szCs w:val="18"/>
              </w:rPr>
              <w:t>Савецкая</w:t>
            </w:r>
            <w:proofErr w:type="spellEnd"/>
            <w:r w:rsidRPr="00AA7A49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proofErr w:type="spellStart"/>
            <w:r w:rsidRPr="00AA7A49">
              <w:rPr>
                <w:sz w:val="18"/>
                <w:szCs w:val="18"/>
                <w:lang w:val="en-US"/>
              </w:rPr>
              <w:t>i</w:t>
            </w:r>
            <w:r w:rsidRPr="00AA7A49">
              <w:rPr>
                <w:sz w:val="18"/>
                <w:szCs w:val="18"/>
              </w:rPr>
              <w:t>нск</w:t>
            </w:r>
            <w:proofErr w:type="spellEnd"/>
          </w:p>
          <w:p w14:paraId="2300488C" w14:textId="77777777" w:rsidR="0038533F" w:rsidRPr="001327ED" w:rsidRDefault="0038533F" w:rsidP="004C19E0">
            <w:pPr>
              <w:jc w:val="center"/>
              <w:rPr>
                <w:sz w:val="18"/>
                <w:szCs w:val="18"/>
              </w:rPr>
            </w:pPr>
            <w:proofErr w:type="spellStart"/>
            <w:r w:rsidRPr="00AA7A49">
              <w:rPr>
                <w:sz w:val="18"/>
                <w:szCs w:val="18"/>
              </w:rPr>
              <w:t>тэл</w:t>
            </w:r>
            <w:proofErr w:type="spellEnd"/>
            <w:r w:rsidRPr="001327ED">
              <w:rPr>
                <w:sz w:val="18"/>
                <w:szCs w:val="18"/>
              </w:rPr>
              <w:t xml:space="preserve">. 8 (017) 222 79 </w:t>
            </w:r>
            <w:r>
              <w:rPr>
                <w:sz w:val="18"/>
                <w:szCs w:val="18"/>
              </w:rPr>
              <w:t>71</w:t>
            </w:r>
            <w:r w:rsidRPr="001327ED">
              <w:rPr>
                <w:sz w:val="18"/>
                <w:szCs w:val="18"/>
              </w:rPr>
              <w:t xml:space="preserve">, 222 79 </w:t>
            </w:r>
            <w:r>
              <w:rPr>
                <w:sz w:val="18"/>
                <w:szCs w:val="18"/>
              </w:rPr>
              <w:t>72</w:t>
            </w:r>
            <w:r w:rsidRPr="001327ED">
              <w:rPr>
                <w:sz w:val="18"/>
                <w:szCs w:val="18"/>
              </w:rPr>
              <w:t xml:space="preserve">, </w:t>
            </w:r>
            <w:r w:rsidRPr="00AA7A49">
              <w:rPr>
                <w:sz w:val="18"/>
                <w:szCs w:val="18"/>
              </w:rPr>
              <w:t>факс</w:t>
            </w:r>
            <w:r w:rsidRPr="001327ED">
              <w:rPr>
                <w:sz w:val="18"/>
                <w:szCs w:val="18"/>
              </w:rPr>
              <w:t xml:space="preserve"> 222 66 87</w:t>
            </w:r>
          </w:p>
          <w:p w14:paraId="5CEBF2CE" w14:textId="77777777" w:rsidR="0038533F" w:rsidRPr="00D7423A" w:rsidRDefault="0038533F" w:rsidP="004C19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7423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D7423A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gnk</w:t>
            </w:r>
            <w:r w:rsidRPr="00D7423A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D7423A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D7423A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</w:tc>
        <w:tc>
          <w:tcPr>
            <w:tcW w:w="1518" w:type="dxa"/>
            <w:gridSpan w:val="3"/>
          </w:tcPr>
          <w:p w14:paraId="62CEC1C5" w14:textId="77777777" w:rsidR="0038533F" w:rsidRPr="00D7423A" w:rsidRDefault="0038533F" w:rsidP="004C19E0">
            <w:pPr>
              <w:ind w:left="-108" w:right="-108"/>
              <w:jc w:val="both"/>
              <w:rPr>
                <w:lang w:val="en-US"/>
              </w:rPr>
            </w:pPr>
          </w:p>
        </w:tc>
        <w:tc>
          <w:tcPr>
            <w:tcW w:w="3895" w:type="dxa"/>
          </w:tcPr>
          <w:p w14:paraId="30EC82DA" w14:textId="77777777" w:rsidR="0038533F" w:rsidRPr="005700F2" w:rsidRDefault="0038533F" w:rsidP="004C19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МИНИСТЕРСТВО</w:t>
            </w:r>
          </w:p>
          <w:p w14:paraId="7C64A854" w14:textId="77777777" w:rsidR="0038533F" w:rsidRPr="005700F2" w:rsidRDefault="0038533F" w:rsidP="004C19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ПО НАЛОГАМ И СБОРАМ</w:t>
            </w:r>
          </w:p>
          <w:p w14:paraId="3C9A9521" w14:textId="77777777" w:rsidR="0038533F" w:rsidRDefault="0038533F" w:rsidP="004C19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РЕСПУБЛИКИ БЕЛАРУСЬ</w:t>
            </w:r>
          </w:p>
          <w:p w14:paraId="1157DB26" w14:textId="77777777" w:rsidR="0038533F" w:rsidRDefault="0038533F" w:rsidP="004C19E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  <w:p w14:paraId="727EF135" w14:textId="77777777" w:rsidR="0038533F" w:rsidRDefault="0038533F" w:rsidP="004C19E0">
            <w:pPr>
              <w:jc w:val="center"/>
              <w:rPr>
                <w:sz w:val="18"/>
                <w:szCs w:val="18"/>
              </w:rPr>
            </w:pPr>
            <w:r w:rsidRPr="00AA7A49">
              <w:rPr>
                <w:sz w:val="18"/>
                <w:szCs w:val="18"/>
              </w:rPr>
              <w:t>ул. С</w:t>
            </w:r>
            <w:r>
              <w:rPr>
                <w:sz w:val="18"/>
                <w:szCs w:val="18"/>
              </w:rPr>
              <w:t>о</w:t>
            </w:r>
            <w:r w:rsidRPr="00AA7A49"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тс</w:t>
            </w:r>
            <w:r w:rsidRPr="00AA7A49">
              <w:rPr>
                <w:sz w:val="18"/>
                <w:szCs w:val="18"/>
              </w:rPr>
              <w:t xml:space="preserve">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r>
              <w:rPr>
                <w:sz w:val="18"/>
                <w:szCs w:val="18"/>
              </w:rPr>
              <w:t>и</w:t>
            </w:r>
            <w:r w:rsidRPr="00AA7A49">
              <w:rPr>
                <w:sz w:val="18"/>
                <w:szCs w:val="18"/>
              </w:rPr>
              <w:t>нск</w:t>
            </w:r>
          </w:p>
          <w:p w14:paraId="0AF86522" w14:textId="77777777" w:rsidR="0038533F" w:rsidRDefault="0038533F" w:rsidP="004C19E0">
            <w:pPr>
              <w:jc w:val="center"/>
              <w:rPr>
                <w:sz w:val="18"/>
                <w:szCs w:val="18"/>
              </w:rPr>
            </w:pPr>
            <w:r w:rsidRPr="00AA7A4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AA7A49">
              <w:rPr>
                <w:sz w:val="18"/>
                <w:szCs w:val="18"/>
              </w:rPr>
              <w:t>л. 8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(017)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 xml:space="preserve">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</w:t>
            </w:r>
            <w:r w:rsidRPr="00AA7A49">
              <w:rPr>
                <w:sz w:val="18"/>
                <w:szCs w:val="18"/>
              </w:rPr>
              <w:t xml:space="preserve">, 222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</w:t>
            </w:r>
            <w:r w:rsidRPr="00AA7A49">
              <w:rPr>
                <w:sz w:val="18"/>
                <w:szCs w:val="18"/>
              </w:rPr>
              <w:t>, факс 222 66 87</w:t>
            </w:r>
          </w:p>
          <w:p w14:paraId="764C8BF6" w14:textId="77777777" w:rsidR="0038533F" w:rsidRPr="00FE749C" w:rsidRDefault="0038533F" w:rsidP="004C19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Pr="00FE749C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gnk</w:t>
            </w:r>
            <w:r w:rsidRPr="00FE749C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E749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 w:rsidRPr="00FE749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14:paraId="71A24890" w14:textId="77777777" w:rsidR="0038533F" w:rsidRPr="00F36112" w:rsidRDefault="0038533F" w:rsidP="004C19E0">
            <w:pPr>
              <w:rPr>
                <w:lang w:val="en-US"/>
              </w:rPr>
            </w:pPr>
          </w:p>
        </w:tc>
      </w:tr>
      <w:tr w:rsidR="0038533F" w:rsidRPr="00363361" w14:paraId="77809330" w14:textId="77777777" w:rsidTr="004C1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60"/>
        </w:trPr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494C6" w14:textId="77777777" w:rsidR="0038533F" w:rsidRPr="00363361" w:rsidRDefault="0038533F" w:rsidP="004C19E0">
            <w:pPr>
              <w:pStyle w:val="ConsPlusTitle"/>
              <w:tabs>
                <w:tab w:val="left" w:pos="4536"/>
              </w:tabs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26</w:t>
            </w:r>
            <w:r w:rsidRPr="00363361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.01.2023</w:t>
            </w:r>
            <w:r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 xml:space="preserve"> № 2-2-13</w:t>
            </w:r>
            <w:r w:rsidRPr="00363361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/</w:t>
            </w:r>
            <w:r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00282</w:t>
            </w:r>
            <w:r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 xml:space="preserve"> </w:t>
            </w:r>
          </w:p>
          <w:p w14:paraId="1A6C5443" w14:textId="77777777" w:rsidR="0038533F" w:rsidRPr="00363361" w:rsidRDefault="0038533F" w:rsidP="004C19E0">
            <w:pPr>
              <w:pStyle w:val="ConsPlusTitle"/>
              <w:tabs>
                <w:tab w:val="left" w:pos="4536"/>
              </w:tabs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9"/>
                <w:szCs w:val="29"/>
              </w:rPr>
            </w:pPr>
            <w:r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 xml:space="preserve">На №           от </w:t>
            </w:r>
            <w:r w:rsidRPr="00363361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 xml:space="preserve">                  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E94A22" w14:textId="77777777" w:rsidR="0038533F" w:rsidRPr="00363361" w:rsidRDefault="0038533F" w:rsidP="004C19E0">
            <w:pPr>
              <w:pStyle w:val="ConsPlusTitle"/>
              <w:tabs>
                <w:tab w:val="left" w:pos="4536"/>
              </w:tabs>
              <w:spacing w:line="360" w:lineRule="auto"/>
              <w:ind w:right="5103"/>
              <w:jc w:val="both"/>
              <w:rPr>
                <w:rFonts w:ascii="Times New Roman" w:hAnsi="Times New Roman" w:cs="Times New Roman"/>
                <w:b w:val="0"/>
                <w:sz w:val="29"/>
                <w:szCs w:val="29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DD23E" w14:textId="77777777" w:rsidR="0038533F" w:rsidRPr="00363361" w:rsidRDefault="0038533F" w:rsidP="004C19E0">
            <w:pPr>
              <w:pStyle w:val="ConsPlusTitle"/>
              <w:tabs>
                <w:tab w:val="left" w:pos="4536"/>
              </w:tabs>
              <w:spacing w:line="280" w:lineRule="exact"/>
              <w:ind w:left="-940" w:firstLine="940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Инспекции МНС по областям</w:t>
            </w:r>
          </w:p>
          <w:p w14:paraId="4B0770D6" w14:textId="77777777" w:rsidR="0038533F" w:rsidRPr="00ED0702" w:rsidRDefault="0038533F" w:rsidP="004C19E0">
            <w:pPr>
              <w:pStyle w:val="ConsPlusTitle"/>
              <w:tabs>
                <w:tab w:val="left" w:pos="4536"/>
              </w:tabs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г.Минску</w:t>
            </w:r>
            <w:proofErr w:type="spellEnd"/>
          </w:p>
        </w:tc>
      </w:tr>
    </w:tbl>
    <w:p w14:paraId="1A9B834A" w14:textId="77777777" w:rsidR="0038533F" w:rsidRDefault="0038533F" w:rsidP="0038533F">
      <w:pPr>
        <w:spacing w:line="280" w:lineRule="exact"/>
        <w:jc w:val="both"/>
        <w:rPr>
          <w:szCs w:val="30"/>
        </w:rPr>
      </w:pPr>
      <w:r w:rsidRPr="00F46E5D">
        <w:rPr>
          <w:szCs w:val="30"/>
        </w:rPr>
        <w:t>О</w:t>
      </w:r>
      <w:r>
        <w:rPr>
          <w:szCs w:val="30"/>
        </w:rPr>
        <w:t xml:space="preserve">б отчислениях </w:t>
      </w:r>
    </w:p>
    <w:p w14:paraId="5B086242" w14:textId="77777777" w:rsidR="0038533F" w:rsidRDefault="0038533F" w:rsidP="0038533F">
      <w:pPr>
        <w:spacing w:line="280" w:lineRule="exact"/>
        <w:jc w:val="both"/>
        <w:rPr>
          <w:szCs w:val="30"/>
        </w:rPr>
      </w:pPr>
      <w:r>
        <w:rPr>
          <w:szCs w:val="30"/>
        </w:rPr>
        <w:t xml:space="preserve">в фонд ответственности </w:t>
      </w:r>
    </w:p>
    <w:p w14:paraId="6BAE568A" w14:textId="77777777" w:rsidR="0038533F" w:rsidRPr="00F46E5D" w:rsidRDefault="0038533F" w:rsidP="0038533F">
      <w:pPr>
        <w:spacing w:line="280" w:lineRule="exact"/>
        <w:jc w:val="both"/>
        <w:rPr>
          <w:szCs w:val="30"/>
        </w:rPr>
      </w:pPr>
      <w:r>
        <w:rPr>
          <w:szCs w:val="30"/>
        </w:rPr>
        <w:t>туроператоров</w:t>
      </w:r>
    </w:p>
    <w:p w14:paraId="1A3AE0CC" w14:textId="77777777" w:rsidR="0038533F" w:rsidRPr="00F46E5D" w:rsidRDefault="0038533F" w:rsidP="0038533F">
      <w:pPr>
        <w:spacing w:line="360" w:lineRule="auto"/>
        <w:ind w:firstLine="709"/>
        <w:jc w:val="both"/>
        <w:rPr>
          <w:szCs w:val="30"/>
        </w:rPr>
      </w:pPr>
    </w:p>
    <w:p w14:paraId="5FCEC4E7" w14:textId="77777777" w:rsidR="0038533F" w:rsidRPr="00F46E5D" w:rsidRDefault="0038533F" w:rsidP="0038533F">
      <w:pPr>
        <w:ind w:right="140" w:firstLine="709"/>
        <w:jc w:val="both"/>
        <w:rPr>
          <w:szCs w:val="30"/>
        </w:rPr>
      </w:pPr>
      <w:r w:rsidRPr="00F46E5D">
        <w:rPr>
          <w:szCs w:val="30"/>
        </w:rPr>
        <w:t xml:space="preserve">Министерство по налогам и сборам разъясняет порядок  </w:t>
      </w:r>
      <w:r>
        <w:rPr>
          <w:szCs w:val="30"/>
        </w:rPr>
        <w:t>учета при налогообложении прибыли взносов в фонд ответственности туроператоров,  формируемый  в  соответствии  с  вступившим  в  силу  с 1 января 2023 г. Законом Республики Беларусь от 11.11.2021 № 129-З  «О туризме» (далее – Закон).</w:t>
      </w:r>
    </w:p>
    <w:p w14:paraId="1A64C71C" w14:textId="77777777" w:rsidR="0038533F" w:rsidRDefault="0038533F" w:rsidP="0038533F">
      <w:pPr>
        <w:tabs>
          <w:tab w:val="left" w:pos="709"/>
        </w:tabs>
        <w:ind w:right="140" w:firstLine="539"/>
        <w:jc w:val="both"/>
      </w:pPr>
      <w:r>
        <w:t xml:space="preserve">  В соответствии со статьей 1 Закона фонд ответственности туроператоров (далее – фонд) - совокупность денежных средств, формируемая ассоциацией (союзом) в целях возмещения участникам туристической деятельности имущественного вреда, причиненного в связи с наступлением случаев невозможности исполнения туроператором обязательств по договорам оказания туристических услуг в сфере международного выездного туризма.</w:t>
      </w:r>
    </w:p>
    <w:p w14:paraId="273733F2" w14:textId="77777777" w:rsidR="0038533F" w:rsidRDefault="0038533F" w:rsidP="0038533F">
      <w:pPr>
        <w:tabs>
          <w:tab w:val="left" w:pos="709"/>
        </w:tabs>
        <w:autoSpaceDE w:val="0"/>
        <w:autoSpaceDN w:val="0"/>
        <w:adjustRightInd w:val="0"/>
        <w:ind w:right="140" w:firstLine="539"/>
        <w:jc w:val="both"/>
        <w:rPr>
          <w:szCs w:val="30"/>
        </w:rPr>
      </w:pPr>
      <w:r>
        <w:rPr>
          <w:szCs w:val="30"/>
        </w:rPr>
        <w:t xml:space="preserve">  Фонд формируется ассоциацией (союзом)  за счет ежегодных взносов туроператоров, осуществляющих деятельность в сфере международного выездного туризма и являющихся членами ассоциации (союза), сформировавшей этот фонд.  Туроператор, осуществляющий деятельность в сфере международного выездного туризма и являющийся членом ассоциации (союза), сформировавшей фонд, </w:t>
      </w:r>
      <w:r w:rsidRPr="00EC6113">
        <w:rPr>
          <w:szCs w:val="30"/>
          <w:u w:val="single"/>
        </w:rPr>
        <w:t>считается участником фонда</w:t>
      </w:r>
      <w:r>
        <w:rPr>
          <w:szCs w:val="30"/>
        </w:rPr>
        <w:t xml:space="preserve"> с даты, когда он уплатил первый взнос </w:t>
      </w:r>
      <w:r w:rsidRPr="00E93594">
        <w:rPr>
          <w:szCs w:val="30"/>
        </w:rPr>
        <w:t>в этот фонд, равный одной четвертой от размера ежегодного взноса</w:t>
      </w:r>
      <w:r>
        <w:rPr>
          <w:szCs w:val="30"/>
        </w:rPr>
        <w:t xml:space="preserve">. Денежные средства </w:t>
      </w:r>
      <w:r w:rsidRPr="00AB1535">
        <w:rPr>
          <w:szCs w:val="30"/>
        </w:rPr>
        <w:t xml:space="preserve">фонда ответственности туроператоров </w:t>
      </w:r>
      <w:r>
        <w:rPr>
          <w:szCs w:val="30"/>
        </w:rPr>
        <w:t>в виде его взносов</w:t>
      </w:r>
      <w:r w:rsidRPr="00AB1535">
        <w:rPr>
          <w:szCs w:val="30"/>
        </w:rPr>
        <w:t xml:space="preserve"> аккумулируются</w:t>
      </w:r>
      <w:r>
        <w:rPr>
          <w:szCs w:val="30"/>
        </w:rPr>
        <w:t xml:space="preserve"> </w:t>
      </w:r>
      <w:r w:rsidRPr="00AB1535">
        <w:rPr>
          <w:szCs w:val="30"/>
        </w:rPr>
        <w:t>на специальном счете в белорусских рублях, открываемом в банке ассоциацией (союзом)</w:t>
      </w:r>
      <w:r>
        <w:rPr>
          <w:szCs w:val="30"/>
        </w:rPr>
        <w:t xml:space="preserve"> </w:t>
      </w:r>
      <w:r w:rsidRPr="00E93594">
        <w:rPr>
          <w:szCs w:val="30"/>
        </w:rPr>
        <w:t>(пункты 1,2</w:t>
      </w:r>
      <w:r>
        <w:rPr>
          <w:szCs w:val="30"/>
        </w:rPr>
        <w:t>,3</w:t>
      </w:r>
      <w:r w:rsidRPr="00E93594">
        <w:rPr>
          <w:szCs w:val="30"/>
        </w:rPr>
        <w:t xml:space="preserve"> статьи 30 Закона).</w:t>
      </w:r>
    </w:p>
    <w:p w14:paraId="0BD09C4A" w14:textId="77777777" w:rsidR="0038533F" w:rsidRPr="00AB1535" w:rsidRDefault="0038533F" w:rsidP="0038533F">
      <w:pPr>
        <w:tabs>
          <w:tab w:val="left" w:pos="709"/>
        </w:tabs>
        <w:ind w:right="140"/>
        <w:jc w:val="both"/>
        <w:outlineLvl w:val="0"/>
        <w:rPr>
          <w:szCs w:val="30"/>
        </w:rPr>
      </w:pPr>
      <w:r w:rsidRPr="00845947">
        <w:rPr>
          <w:szCs w:val="30"/>
        </w:rPr>
        <w:t xml:space="preserve">    </w:t>
      </w:r>
      <w:r>
        <w:rPr>
          <w:szCs w:val="30"/>
        </w:rPr>
        <w:t xml:space="preserve">    </w:t>
      </w:r>
      <w:r w:rsidRPr="00F45C2A">
        <w:rPr>
          <w:szCs w:val="30"/>
        </w:rPr>
        <w:t xml:space="preserve"> Согласно разъяснению Министерства спорта и туризма Республики Беларусь от 20.01.2023  № 12/269 от 20.01.2023, взносы туроператоров в  фонд</w:t>
      </w:r>
      <w:r>
        <w:rPr>
          <w:szCs w:val="30"/>
        </w:rPr>
        <w:t>,</w:t>
      </w:r>
      <w:r w:rsidRPr="00F45C2A">
        <w:rPr>
          <w:szCs w:val="30"/>
        </w:rPr>
        <w:t xml:space="preserve"> </w:t>
      </w:r>
      <w:r>
        <w:rPr>
          <w:szCs w:val="30"/>
        </w:rPr>
        <w:t>в</w:t>
      </w:r>
      <w:r w:rsidRPr="00F45C2A">
        <w:rPr>
          <w:szCs w:val="30"/>
        </w:rPr>
        <w:t xml:space="preserve"> отличие от членских взносов</w:t>
      </w:r>
      <w:r>
        <w:rPr>
          <w:szCs w:val="30"/>
        </w:rPr>
        <w:t>,</w:t>
      </w:r>
      <w:r w:rsidRPr="00F45C2A">
        <w:rPr>
          <w:szCs w:val="30"/>
        </w:rPr>
        <w:t xml:space="preserve"> направлены не на обеспечение деятельности самой ассоциации (союза), формируя ее доходную часть, а на возмещение имущественного вреда участникам туристической деятельности при наступлении одного из случаев, предусмотренных в пункте 1 статьи 26 Закона</w:t>
      </w:r>
      <w:r>
        <w:rPr>
          <w:szCs w:val="30"/>
        </w:rPr>
        <w:t xml:space="preserve">. Принимая во внимание целевое назначение фонда, а также порядок его формирования и использования, взносы в фонд  </w:t>
      </w:r>
      <w:r>
        <w:rPr>
          <w:szCs w:val="30"/>
        </w:rPr>
        <w:lastRenderedPageBreak/>
        <w:t>не являются членскими взносами, т.е. взносами на содержание ассоциации (союза).</w:t>
      </w:r>
    </w:p>
    <w:p w14:paraId="5D088066" w14:textId="77777777" w:rsidR="0038533F" w:rsidRDefault="0038533F" w:rsidP="0038533F">
      <w:pPr>
        <w:tabs>
          <w:tab w:val="left" w:pos="709"/>
        </w:tabs>
        <w:spacing w:after="1" w:line="300" w:lineRule="atLeast"/>
        <w:ind w:right="140" w:firstLine="540"/>
        <w:jc w:val="both"/>
        <w:rPr>
          <w:szCs w:val="30"/>
        </w:rPr>
      </w:pPr>
      <w:r>
        <w:rPr>
          <w:szCs w:val="30"/>
        </w:rPr>
        <w:t xml:space="preserve">  Соответственно, </w:t>
      </w:r>
      <w:bookmarkStart w:id="0" w:name="Par7"/>
      <w:bookmarkStart w:id="1" w:name="Par11"/>
      <w:bookmarkStart w:id="2" w:name="Par21"/>
      <w:bookmarkStart w:id="3" w:name="Par22"/>
      <w:bookmarkStart w:id="4" w:name="Par24"/>
      <w:bookmarkEnd w:id="0"/>
      <w:bookmarkEnd w:id="1"/>
      <w:bookmarkEnd w:id="2"/>
      <w:bookmarkEnd w:id="3"/>
      <w:bookmarkEnd w:id="4"/>
      <w:r>
        <w:rPr>
          <w:szCs w:val="30"/>
        </w:rPr>
        <w:t xml:space="preserve">  в состав прочих нормируемых затрат, указанных в </w:t>
      </w:r>
      <w:r w:rsidRPr="00845947">
        <w:rPr>
          <w:szCs w:val="30"/>
        </w:rPr>
        <w:t>подпункт</w:t>
      </w:r>
      <w:r>
        <w:rPr>
          <w:szCs w:val="30"/>
        </w:rPr>
        <w:t>е</w:t>
      </w:r>
      <w:r w:rsidRPr="00845947">
        <w:rPr>
          <w:szCs w:val="30"/>
        </w:rPr>
        <w:t xml:space="preserve"> 2.8 пункта 2  статьи  171 Н</w:t>
      </w:r>
      <w:r>
        <w:rPr>
          <w:szCs w:val="30"/>
        </w:rPr>
        <w:t>алогового кодекса Республики Беларусь (далее – НК),  взносы в фонд  не включаются.</w:t>
      </w:r>
    </w:p>
    <w:p w14:paraId="2A32A7C4" w14:textId="77777777" w:rsidR="0038533F" w:rsidRDefault="0038533F" w:rsidP="0038533F">
      <w:pPr>
        <w:tabs>
          <w:tab w:val="left" w:pos="709"/>
        </w:tabs>
        <w:autoSpaceDE w:val="0"/>
        <w:autoSpaceDN w:val="0"/>
        <w:adjustRightInd w:val="0"/>
        <w:ind w:right="140" w:firstLine="539"/>
        <w:jc w:val="both"/>
      </w:pPr>
      <w:r>
        <w:rPr>
          <w:szCs w:val="30"/>
        </w:rPr>
        <w:t xml:space="preserve"> </w:t>
      </w:r>
      <w:r>
        <w:t xml:space="preserve"> Исходя из положений пункта 1 статьи 27 Закона участие в формировании фонда ответственности туроператоров является одним из возможных (наряду с договором  добровольного страхования ответственности туроператора и банковской гарантией) </w:t>
      </w:r>
      <w:r w:rsidRPr="006165E0">
        <w:rPr>
          <w:u w:val="single"/>
        </w:rPr>
        <w:t>обязательных</w:t>
      </w:r>
      <w:r>
        <w:t xml:space="preserve"> способов обеспечения туроператором исполнения обязательств по  договорам выездного туризма.</w:t>
      </w:r>
    </w:p>
    <w:p w14:paraId="745AD474" w14:textId="77777777" w:rsidR="0038533F" w:rsidRDefault="0038533F" w:rsidP="0038533F">
      <w:pPr>
        <w:tabs>
          <w:tab w:val="left" w:pos="709"/>
        </w:tabs>
        <w:autoSpaceDE w:val="0"/>
        <w:autoSpaceDN w:val="0"/>
        <w:adjustRightInd w:val="0"/>
        <w:ind w:right="140" w:firstLine="539"/>
        <w:jc w:val="both"/>
      </w:pPr>
      <w:r>
        <w:t xml:space="preserve">  При этом статья 173 НК не содержит ограничений по учету при налогообложении прибыли такого рода расходов. </w:t>
      </w:r>
    </w:p>
    <w:p w14:paraId="5B956691" w14:textId="77777777" w:rsidR="0038533F" w:rsidRDefault="0038533F" w:rsidP="0038533F">
      <w:pPr>
        <w:tabs>
          <w:tab w:val="left" w:pos="709"/>
          <w:tab w:val="left" w:pos="851"/>
          <w:tab w:val="left" w:pos="6804"/>
        </w:tabs>
        <w:autoSpaceDE w:val="0"/>
        <w:autoSpaceDN w:val="0"/>
        <w:adjustRightInd w:val="0"/>
        <w:ind w:right="140"/>
        <w:jc w:val="both"/>
        <w:rPr>
          <w:szCs w:val="30"/>
        </w:rPr>
      </w:pPr>
      <w:r>
        <w:rPr>
          <w:szCs w:val="30"/>
        </w:rPr>
        <w:t xml:space="preserve">         Следовательно, поскольку участие в формировании фонда является законодательно установленным обязательным условием для заключения туроператором договоров оказания туристических услуг в сфере международного выездного туризма,  в силу действия п</w:t>
      </w:r>
      <w:r>
        <w:rPr>
          <w:sz w:val="29"/>
          <w:szCs w:val="29"/>
        </w:rPr>
        <w:t xml:space="preserve">ункта 1 статьи 169 НК и  </w:t>
      </w:r>
      <w:r>
        <w:t xml:space="preserve">пункта 1 статьи 170 НК </w:t>
      </w:r>
      <w:r>
        <w:rPr>
          <w:szCs w:val="30"/>
        </w:rPr>
        <w:t>суммы отчислений в фонд  включаются в состав затрат по производству и реализации товаров (работ, услуг), имущественных прав.</w:t>
      </w:r>
    </w:p>
    <w:p w14:paraId="0D8CAF68" w14:textId="77777777" w:rsidR="0038533F" w:rsidRDefault="0038533F" w:rsidP="0038533F">
      <w:pPr>
        <w:tabs>
          <w:tab w:val="left" w:pos="851"/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9"/>
          <w:szCs w:val="29"/>
        </w:rPr>
      </w:pPr>
    </w:p>
    <w:p w14:paraId="6931DD61" w14:textId="77777777" w:rsidR="0038533F" w:rsidRPr="00231DE3" w:rsidRDefault="0038533F" w:rsidP="0038533F">
      <w:pPr>
        <w:tabs>
          <w:tab w:val="left" w:pos="851"/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9"/>
          <w:szCs w:val="29"/>
        </w:rPr>
      </w:pPr>
      <w:r w:rsidRPr="00231DE3">
        <w:rPr>
          <w:sz w:val="29"/>
          <w:szCs w:val="29"/>
        </w:rPr>
        <w:t xml:space="preserve">Заместитель Министра                                   </w:t>
      </w:r>
      <w:r w:rsidRPr="00231DE3">
        <w:rPr>
          <w:sz w:val="29"/>
          <w:szCs w:val="29"/>
        </w:rPr>
        <w:tab/>
      </w:r>
      <w:proofErr w:type="spellStart"/>
      <w:r w:rsidRPr="00231DE3">
        <w:rPr>
          <w:sz w:val="29"/>
          <w:szCs w:val="29"/>
        </w:rPr>
        <w:t>Э.А.Селицкая</w:t>
      </w:r>
      <w:proofErr w:type="spellEnd"/>
    </w:p>
    <w:p w14:paraId="3906BFB6" w14:textId="77777777" w:rsidR="0038533F" w:rsidRDefault="0038533F" w:rsidP="00196A11">
      <w:pPr>
        <w:widowControl w:val="0"/>
        <w:jc w:val="both"/>
        <w:rPr>
          <w:i/>
          <w:sz w:val="24"/>
        </w:rPr>
      </w:pPr>
    </w:p>
    <w:p w14:paraId="52F56B0E" w14:textId="77777777" w:rsidR="0038533F" w:rsidRPr="000C59DA" w:rsidRDefault="0038533F" w:rsidP="00196A11">
      <w:pPr>
        <w:widowControl w:val="0"/>
        <w:jc w:val="both"/>
        <w:rPr>
          <w:i/>
          <w:sz w:val="24"/>
        </w:rPr>
      </w:pPr>
    </w:p>
    <w:sectPr w:rsidR="0038533F" w:rsidRPr="000C59DA" w:rsidSect="00BF4010">
      <w:pgSz w:w="11906" w:h="16838"/>
      <w:pgMar w:top="907" w:right="851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530B" w14:textId="77777777" w:rsidR="00616D4C" w:rsidRDefault="00616D4C" w:rsidP="00F33985">
      <w:r>
        <w:separator/>
      </w:r>
    </w:p>
  </w:endnote>
  <w:endnote w:type="continuationSeparator" w:id="0">
    <w:p w14:paraId="5FC8C385" w14:textId="77777777" w:rsidR="00616D4C" w:rsidRDefault="00616D4C" w:rsidP="00F3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777B" w14:textId="77777777" w:rsidR="00616D4C" w:rsidRDefault="00616D4C" w:rsidP="00F33985">
      <w:r>
        <w:separator/>
      </w:r>
    </w:p>
  </w:footnote>
  <w:footnote w:type="continuationSeparator" w:id="0">
    <w:p w14:paraId="069B9841" w14:textId="77777777" w:rsidR="00616D4C" w:rsidRDefault="00616D4C" w:rsidP="00F3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11"/>
    <w:rsid w:val="000373A0"/>
    <w:rsid w:val="000403FC"/>
    <w:rsid w:val="00075EEA"/>
    <w:rsid w:val="000A5F72"/>
    <w:rsid w:val="0012730A"/>
    <w:rsid w:val="001420E9"/>
    <w:rsid w:val="00177F5C"/>
    <w:rsid w:val="00196A11"/>
    <w:rsid w:val="001A2B5B"/>
    <w:rsid w:val="001D0525"/>
    <w:rsid w:val="00283E9B"/>
    <w:rsid w:val="002B5A8F"/>
    <w:rsid w:val="002C40DC"/>
    <w:rsid w:val="0038533F"/>
    <w:rsid w:val="003F625D"/>
    <w:rsid w:val="00417D01"/>
    <w:rsid w:val="00417E38"/>
    <w:rsid w:val="004476E2"/>
    <w:rsid w:val="00463294"/>
    <w:rsid w:val="00465769"/>
    <w:rsid w:val="004D2624"/>
    <w:rsid w:val="005242B3"/>
    <w:rsid w:val="005462E4"/>
    <w:rsid w:val="005964B3"/>
    <w:rsid w:val="00616D4C"/>
    <w:rsid w:val="0064446D"/>
    <w:rsid w:val="0079082C"/>
    <w:rsid w:val="008C71CE"/>
    <w:rsid w:val="008E47B6"/>
    <w:rsid w:val="0092460C"/>
    <w:rsid w:val="00945F9E"/>
    <w:rsid w:val="009A080E"/>
    <w:rsid w:val="009B2837"/>
    <w:rsid w:val="00A76335"/>
    <w:rsid w:val="00A8199C"/>
    <w:rsid w:val="00A92300"/>
    <w:rsid w:val="00B1360B"/>
    <w:rsid w:val="00B541E3"/>
    <w:rsid w:val="00B83110"/>
    <w:rsid w:val="00BC3AFD"/>
    <w:rsid w:val="00BE0B4A"/>
    <w:rsid w:val="00BF4010"/>
    <w:rsid w:val="00C16BC1"/>
    <w:rsid w:val="00C862B1"/>
    <w:rsid w:val="00C9035D"/>
    <w:rsid w:val="00CB6F0D"/>
    <w:rsid w:val="00CC0245"/>
    <w:rsid w:val="00CE3BAC"/>
    <w:rsid w:val="00D11964"/>
    <w:rsid w:val="00D828EF"/>
    <w:rsid w:val="00DD5ECD"/>
    <w:rsid w:val="00E1091C"/>
    <w:rsid w:val="00E34F02"/>
    <w:rsid w:val="00EA5C8B"/>
    <w:rsid w:val="00F33985"/>
    <w:rsid w:val="00F44F5B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F033A4A"/>
  <w15:chartTrackingRefBased/>
  <w15:docId w15:val="{4244189D-05A0-4190-8B1B-FBCCE7F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A1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6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D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85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C4B1-8B9A-4880-91D2-04B5C61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Лаппо Татьяна Михайловна</dc:creator>
  <cp:keywords/>
  <dc:description/>
  <cp:lastModifiedBy>Числова Майя Валерьевна</cp:lastModifiedBy>
  <cp:revision>4</cp:revision>
  <cp:lastPrinted>2023-01-30T06:43:00Z</cp:lastPrinted>
  <dcterms:created xsi:type="dcterms:W3CDTF">2023-01-30T06:43:00Z</dcterms:created>
  <dcterms:modified xsi:type="dcterms:W3CDTF">2023-01-30T06:57:00Z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